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066B37BA"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C96FA1">
        <w:rPr>
          <w:rFonts w:ascii="Arial" w:eastAsia="Times New Roman" w:hAnsi="Arial" w:cs="Arial"/>
          <w:color w:val="000000"/>
          <w:sz w:val="23"/>
          <w:szCs w:val="23"/>
          <w:u w:val="single"/>
          <w:lang w:eastAsia="pt-BR"/>
        </w:rPr>
        <w:t>082/2020.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77777777"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Consoante o procedimento </w:t>
      </w:r>
      <w:proofErr w:type="spellStart"/>
      <w:r w:rsidRPr="00A00FE1">
        <w:rPr>
          <w:rFonts w:ascii="Arial" w:hAnsi="Arial" w:cs="Arial"/>
          <w:sz w:val="23"/>
          <w:szCs w:val="23"/>
        </w:rPr>
        <w:t>licitatatório</w:t>
      </w:r>
      <w:proofErr w:type="spellEnd"/>
      <w:r w:rsidRPr="00A00FE1">
        <w:rPr>
          <w:rFonts w:ascii="Arial" w:hAnsi="Arial" w:cs="Arial"/>
          <w:sz w:val="23"/>
          <w:szCs w:val="23"/>
        </w:rPr>
        <w:t xml:space="preserve">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18B5DD5C" w:rsidR="00FF003E" w:rsidRPr="00DF31AD" w:rsidRDefault="00FF003E" w:rsidP="00FF003E">
      <w:pPr>
        <w:spacing w:after="0" w:line="240" w:lineRule="auto"/>
        <w:jc w:val="both"/>
        <w:rPr>
          <w:rFonts w:ascii="Arial" w:eastAsia="Times New Roman" w:hAnsi="Arial" w:cs="Arial"/>
          <w:lang w:eastAsia="pt-BR"/>
        </w:rPr>
      </w:pPr>
      <w:r w:rsidRPr="00A00FE1">
        <w:rPr>
          <w:rFonts w:ascii="Arial" w:eastAsia="Times New Roman" w:hAnsi="Arial" w:cs="Arial"/>
          <w:sz w:val="23"/>
          <w:szCs w:val="23"/>
          <w:lang w:eastAsia="pt-BR"/>
        </w:rPr>
        <w:t>A empresa</w:t>
      </w:r>
      <w:r w:rsidR="00DF31AD" w:rsidRPr="00DF31AD">
        <w:rPr>
          <w:rFonts w:ascii="Arial" w:eastAsia="Times New Roman" w:hAnsi="Arial" w:cs="Arial"/>
          <w:b/>
          <w:color w:val="000000"/>
          <w:lang w:eastAsia="pt-BR"/>
        </w:rPr>
        <w:t xml:space="preserve"> </w:t>
      </w:r>
      <w:r w:rsidR="00DF31AD">
        <w:rPr>
          <w:rFonts w:ascii="Arial" w:eastAsia="Times New Roman" w:hAnsi="Arial" w:cs="Arial"/>
          <w:b/>
          <w:color w:val="000000"/>
          <w:lang w:eastAsia="pt-BR"/>
        </w:rPr>
        <w:t>DISTRIBUIDORA DE MEDICAMENTOS BOEING LTDA</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DF31AD" w:rsidRPr="00DF31AD">
        <w:rPr>
          <w:rFonts w:ascii="Arial" w:eastAsia="Times New Roman" w:hAnsi="Arial" w:cs="Arial"/>
          <w:color w:val="000000"/>
          <w:lang w:eastAsia="pt-BR"/>
        </w:rPr>
        <w:t xml:space="preserve"> </w:t>
      </w:r>
      <w:r w:rsidR="00DF31AD">
        <w:rPr>
          <w:rFonts w:ascii="Arial" w:eastAsia="Times New Roman" w:hAnsi="Arial" w:cs="Arial"/>
          <w:color w:val="000000"/>
          <w:lang w:eastAsia="pt-BR"/>
        </w:rPr>
        <w:t>30.547.487/0001-98</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DF31AD" w:rsidRPr="00DF31AD">
        <w:rPr>
          <w:rFonts w:ascii="Arial" w:eastAsia="Times New Roman" w:hAnsi="Arial" w:cs="Arial"/>
          <w:lang w:eastAsia="pt-BR"/>
        </w:rPr>
        <w:t xml:space="preserve"> </w:t>
      </w:r>
      <w:r w:rsidR="00DF31AD">
        <w:rPr>
          <w:rFonts w:ascii="Arial" w:eastAsia="Times New Roman" w:hAnsi="Arial" w:cs="Arial"/>
          <w:lang w:eastAsia="pt-BR"/>
        </w:rPr>
        <w:t>ALVORADA DO SUL</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DF31AD" w:rsidRPr="00DF31AD">
        <w:rPr>
          <w:rFonts w:ascii="Arial" w:eastAsia="Times New Roman" w:hAnsi="Arial" w:cs="Arial"/>
          <w:color w:val="000000"/>
          <w:lang w:eastAsia="pt-BR"/>
        </w:rPr>
        <w:t xml:space="preserve"> </w:t>
      </w:r>
      <w:r w:rsidR="00DF31AD">
        <w:rPr>
          <w:rFonts w:ascii="Arial" w:eastAsia="Times New Roman" w:hAnsi="Arial" w:cs="Arial"/>
          <w:color w:val="000000"/>
          <w:lang w:eastAsia="pt-BR"/>
        </w:rPr>
        <w:t>AVENIDA BEIRA LAGO, Nº 78 – JARDIM DONA DIVA</w:t>
      </w:r>
      <w:r w:rsidR="00E157CD">
        <w:rPr>
          <w:rFonts w:ascii="Arial" w:eastAsia="Times New Roman" w:hAnsi="Arial" w:cs="Arial"/>
          <w:color w:val="000000"/>
          <w:lang w:eastAsia="pt-BR"/>
        </w:rPr>
        <w:t>, Nº</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DF31AD" w:rsidRPr="00DF31AD">
        <w:rPr>
          <w:rFonts w:ascii="Arial" w:eastAsia="Times New Roman" w:hAnsi="Arial" w:cs="Arial"/>
          <w:lang w:eastAsia="pt-BR"/>
        </w:rPr>
        <w:t xml:space="preserve"> </w:t>
      </w:r>
      <w:r w:rsidR="00DF31AD">
        <w:rPr>
          <w:rFonts w:ascii="Arial" w:eastAsia="Times New Roman" w:hAnsi="Arial" w:cs="Arial"/>
          <w:lang w:eastAsia="pt-BR"/>
        </w:rPr>
        <w:t>86.150-000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DF31AD" w:rsidRPr="00DF31AD">
        <w:rPr>
          <w:rFonts w:ascii="Arial" w:eastAsia="Times New Roman" w:hAnsi="Arial" w:cs="Arial"/>
          <w:color w:val="000000"/>
          <w:lang w:eastAsia="pt-BR"/>
        </w:rPr>
        <w:t xml:space="preserve"> </w:t>
      </w:r>
      <w:r w:rsidR="00DF31AD">
        <w:rPr>
          <w:rFonts w:ascii="Arial" w:eastAsia="Times New Roman" w:hAnsi="Arial" w:cs="Arial"/>
          <w:color w:val="000000"/>
          <w:lang w:eastAsia="pt-BR"/>
        </w:rPr>
        <w:t>MARCIO ROBERTO MORAES</w:t>
      </w:r>
      <w:r w:rsidR="003702DA">
        <w:rPr>
          <w:rFonts w:ascii="Arial" w:eastAsia="Times New Roman" w:hAnsi="Arial" w:cs="Arial"/>
          <w:color w:val="000000"/>
          <w:lang w:eastAsia="pt-BR"/>
        </w:rPr>
        <w:t xml:space="preserve">,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DF31AD" w:rsidRPr="00DF31AD">
        <w:rPr>
          <w:rFonts w:ascii="Arial" w:eastAsia="Times New Roman" w:hAnsi="Arial" w:cs="Arial"/>
          <w:lang w:eastAsia="pt-BR"/>
        </w:rPr>
        <w:t xml:space="preserve"> </w:t>
      </w:r>
      <w:r w:rsidR="00DF31AD">
        <w:rPr>
          <w:rFonts w:ascii="Arial" w:eastAsia="Times New Roman" w:hAnsi="Arial" w:cs="Arial"/>
          <w:lang w:eastAsia="pt-BR"/>
        </w:rPr>
        <w:t>ALVORADA DO SUL</w:t>
      </w:r>
      <w:r w:rsidR="00DF31AD">
        <w:rPr>
          <w:rFonts w:ascii="Arial" w:eastAsia="Times New Roman" w:hAnsi="Arial" w:cs="Arial"/>
          <w:sz w:val="23"/>
          <w:szCs w:val="23"/>
          <w:lang w:eastAsia="pt-BR"/>
        </w:rPr>
        <w:t xml:space="preserve">, Estado do </w:t>
      </w:r>
      <w:proofErr w:type="spellStart"/>
      <w:r w:rsidR="00DF31AD">
        <w:rPr>
          <w:rFonts w:ascii="Arial" w:eastAsia="Times New Roman" w:hAnsi="Arial" w:cs="Arial"/>
          <w:sz w:val="23"/>
          <w:szCs w:val="23"/>
          <w:lang w:eastAsia="pt-BR"/>
        </w:rPr>
        <w:t>Parana</w:t>
      </w:r>
      <w:proofErr w:type="spellEnd"/>
      <w:r w:rsidR="00DF31AD">
        <w:rPr>
          <w:rFonts w:ascii="Arial" w:eastAsia="Times New Roman" w:hAnsi="Arial" w:cs="Arial"/>
          <w:sz w:val="23"/>
          <w:szCs w:val="23"/>
          <w:lang w:eastAsia="pt-BR"/>
        </w:rPr>
        <w:t xml:space="preserve">,  na </w:t>
      </w:r>
      <w:r w:rsidR="00DF31AD" w:rsidRPr="00A00FE1">
        <w:rPr>
          <w:rFonts w:ascii="Arial" w:eastAsia="Times New Roman" w:hAnsi="Arial" w:cs="Arial"/>
          <w:sz w:val="23"/>
          <w:szCs w:val="23"/>
          <w:lang w:eastAsia="pt-BR"/>
        </w:rPr>
        <w:t xml:space="preserve"> </w:t>
      </w:r>
      <w:r w:rsidR="00DF31AD">
        <w:rPr>
          <w:rFonts w:ascii="Arial" w:eastAsia="Times New Roman" w:hAnsi="Arial" w:cs="Arial"/>
          <w:color w:val="000000"/>
          <w:lang w:eastAsia="pt-BR"/>
        </w:rPr>
        <w:t>RUA:</w:t>
      </w:r>
      <w:r w:rsidR="00DF31AD" w:rsidRPr="00DF31AD">
        <w:rPr>
          <w:rFonts w:ascii="Arial" w:eastAsia="Times New Roman" w:hAnsi="Arial" w:cs="Arial"/>
          <w:color w:val="000000"/>
          <w:lang w:eastAsia="pt-BR"/>
        </w:rPr>
        <w:t xml:space="preserve"> </w:t>
      </w:r>
      <w:r w:rsidR="00DF31AD">
        <w:rPr>
          <w:rFonts w:ascii="Arial" w:eastAsia="Times New Roman" w:hAnsi="Arial" w:cs="Arial"/>
          <w:color w:val="000000"/>
          <w:lang w:eastAsia="pt-BR"/>
        </w:rPr>
        <w:t>AVENIDA BEIRA LAGO, Nº 78 – JARDIM DONA DIVA, Nº,</w:t>
      </w:r>
      <w:r w:rsidR="00DF31AD" w:rsidRPr="00A00FE1">
        <w:rPr>
          <w:rFonts w:ascii="Arial" w:eastAsia="Times New Roman" w:hAnsi="Arial" w:cs="Arial"/>
          <w:sz w:val="23"/>
          <w:szCs w:val="23"/>
          <w:lang w:eastAsia="pt-BR"/>
        </w:rPr>
        <w:t xml:space="preserve"> CEP</w:t>
      </w:r>
      <w:r w:rsidR="00DF31AD">
        <w:rPr>
          <w:rFonts w:ascii="Arial" w:eastAsia="Times New Roman" w:hAnsi="Arial" w:cs="Arial"/>
          <w:sz w:val="23"/>
          <w:szCs w:val="23"/>
          <w:lang w:eastAsia="pt-BR"/>
        </w:rPr>
        <w:t>:</w:t>
      </w:r>
      <w:r w:rsidR="00DF31AD" w:rsidRPr="00DF31AD">
        <w:rPr>
          <w:rFonts w:ascii="Arial" w:eastAsia="Times New Roman" w:hAnsi="Arial" w:cs="Arial"/>
          <w:lang w:eastAsia="pt-BR"/>
        </w:rPr>
        <w:t xml:space="preserve"> </w:t>
      </w:r>
      <w:r w:rsidR="00DF31AD">
        <w:rPr>
          <w:rFonts w:ascii="Arial" w:eastAsia="Times New Roman" w:hAnsi="Arial" w:cs="Arial"/>
          <w:lang w:eastAsia="pt-BR"/>
        </w:rPr>
        <w:t>86.150-000</w:t>
      </w:r>
      <w:r w:rsidR="009B5196">
        <w:rPr>
          <w:rFonts w:ascii="Arial" w:eastAsia="Times New Roman" w:hAnsi="Arial" w:cs="Arial"/>
          <w:sz w:val="23"/>
          <w:szCs w:val="23"/>
          <w:lang w:eastAsia="pt-BR"/>
        </w:rPr>
        <w:t xml:space="preserve">, </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inscrito no CPF/MF sob nº</w:t>
      </w:r>
      <w:r w:rsidR="00D96773" w:rsidRPr="00D96773">
        <w:rPr>
          <w:rFonts w:ascii="Arial" w:eastAsia="Times New Roman" w:hAnsi="Arial" w:cs="Arial"/>
          <w:color w:val="000000"/>
          <w:lang w:eastAsia="pt-BR"/>
        </w:rPr>
        <w:t xml:space="preserve"> </w:t>
      </w:r>
      <w:r w:rsidR="00A11F2F">
        <w:rPr>
          <w:rFonts w:ascii="Arial" w:eastAsia="Times New Roman" w:hAnsi="Arial" w:cs="Arial"/>
          <w:color w:val="000000"/>
          <w:lang w:eastAsia="pt-BR"/>
        </w:rPr>
        <w:t xml:space="preserve">035.561.799-46  </w:t>
      </w:r>
      <w:r w:rsidRPr="00A00FE1">
        <w:rPr>
          <w:rFonts w:ascii="Arial" w:eastAsia="Times New Roman" w:hAnsi="Arial" w:cs="Arial"/>
          <w:sz w:val="23"/>
          <w:szCs w:val="23"/>
          <w:lang w:eastAsia="pt-BR"/>
        </w:rPr>
        <w:t>e portador da Cédula de Identidade RG nº</w:t>
      </w:r>
      <w:r w:rsidR="00A11F2F" w:rsidRPr="00A11F2F">
        <w:rPr>
          <w:rFonts w:ascii="Arial" w:eastAsia="Times New Roman" w:hAnsi="Arial" w:cs="Arial"/>
          <w:color w:val="000000"/>
          <w:lang w:eastAsia="pt-BR"/>
        </w:rPr>
        <w:t xml:space="preserve"> </w:t>
      </w:r>
      <w:r w:rsidR="00A11F2F">
        <w:rPr>
          <w:rFonts w:ascii="Arial" w:eastAsia="Times New Roman" w:hAnsi="Arial" w:cs="Arial"/>
          <w:color w:val="000000"/>
          <w:lang w:eastAsia="pt-BR"/>
        </w:rPr>
        <w:t>7.758.105-7</w:t>
      </w:r>
      <w:r w:rsidR="00A11F2F">
        <w:rPr>
          <w:rFonts w:ascii="Arial" w:eastAsia="Times New Roman" w:hAnsi="Arial" w:cs="Arial"/>
          <w:b/>
          <w:color w:val="000000"/>
          <w:lang w:eastAsia="pt-BR"/>
        </w:rPr>
        <w:t xml:space="preserve"> </w:t>
      </w:r>
      <w:r w:rsidR="00A11F2F">
        <w:rPr>
          <w:rFonts w:ascii="Arial" w:eastAsia="Times New Roman" w:hAnsi="Arial" w:cs="Arial"/>
          <w:color w:val="000000"/>
          <w:lang w:eastAsia="pt-BR"/>
        </w:rPr>
        <w:t>SSP/PR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4103"/>
        <w:gridCol w:w="1972"/>
        <w:gridCol w:w="894"/>
        <w:gridCol w:w="916"/>
        <w:gridCol w:w="900"/>
        <w:gridCol w:w="980"/>
      </w:tblGrid>
      <w:tr w:rsidR="00C96FA1" w:rsidRPr="00C96FA1" w14:paraId="110E4A55" w14:textId="77777777" w:rsidTr="00C96FA1">
        <w:tc>
          <w:tcPr>
            <w:tcW w:w="583" w:type="dxa"/>
            <w:shd w:val="clear" w:color="auto" w:fill="auto"/>
          </w:tcPr>
          <w:p w14:paraId="14717878"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Item</w:t>
            </w:r>
          </w:p>
        </w:tc>
        <w:tc>
          <w:tcPr>
            <w:tcW w:w="4103" w:type="dxa"/>
            <w:shd w:val="clear" w:color="auto" w:fill="auto"/>
          </w:tcPr>
          <w:p w14:paraId="60273FF3"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Descrição</w:t>
            </w:r>
          </w:p>
        </w:tc>
        <w:tc>
          <w:tcPr>
            <w:tcW w:w="1972" w:type="dxa"/>
            <w:shd w:val="clear" w:color="auto" w:fill="auto"/>
          </w:tcPr>
          <w:p w14:paraId="5CCD3B7F"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Marca</w:t>
            </w:r>
          </w:p>
        </w:tc>
        <w:tc>
          <w:tcPr>
            <w:tcW w:w="894" w:type="dxa"/>
            <w:shd w:val="clear" w:color="auto" w:fill="auto"/>
          </w:tcPr>
          <w:p w14:paraId="4870586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Unidade</w:t>
            </w:r>
          </w:p>
        </w:tc>
        <w:tc>
          <w:tcPr>
            <w:tcW w:w="916" w:type="dxa"/>
            <w:shd w:val="clear" w:color="auto" w:fill="auto"/>
          </w:tcPr>
          <w:p w14:paraId="18FBEBB1"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Quant.</w:t>
            </w:r>
          </w:p>
        </w:tc>
        <w:tc>
          <w:tcPr>
            <w:tcW w:w="900" w:type="dxa"/>
            <w:shd w:val="clear" w:color="auto" w:fill="auto"/>
          </w:tcPr>
          <w:p w14:paraId="138DA65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Valor Unit.</w:t>
            </w:r>
          </w:p>
        </w:tc>
        <w:tc>
          <w:tcPr>
            <w:tcW w:w="980" w:type="dxa"/>
            <w:shd w:val="clear" w:color="auto" w:fill="auto"/>
          </w:tcPr>
          <w:p w14:paraId="3C33248F"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Valor Total</w:t>
            </w:r>
          </w:p>
        </w:tc>
      </w:tr>
      <w:tr w:rsidR="00C96FA1" w:rsidRPr="00C96FA1" w14:paraId="36A5A3E0" w14:textId="77777777" w:rsidTr="00C96FA1">
        <w:tc>
          <w:tcPr>
            <w:tcW w:w="583" w:type="dxa"/>
            <w:shd w:val="clear" w:color="auto" w:fill="auto"/>
          </w:tcPr>
          <w:p w14:paraId="6C46642F"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69</w:t>
            </w:r>
          </w:p>
        </w:tc>
        <w:tc>
          <w:tcPr>
            <w:tcW w:w="4103" w:type="dxa"/>
            <w:shd w:val="clear" w:color="auto" w:fill="auto"/>
          </w:tcPr>
          <w:p w14:paraId="637E5FF3"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CLORIDRATO DE </w:t>
            </w:r>
            <w:proofErr w:type="gramStart"/>
            <w:r w:rsidRPr="00C96FA1">
              <w:rPr>
                <w:rFonts w:ascii="Times New Roman" w:eastAsia="Times New Roman" w:hAnsi="Times New Roman" w:cs="Times New Roman"/>
                <w:sz w:val="20"/>
                <w:szCs w:val="20"/>
                <w:lang w:eastAsia="pt-BR"/>
              </w:rPr>
              <w:t>TIAMNINA(</w:t>
            </w:r>
            <w:proofErr w:type="gramEnd"/>
            <w:r w:rsidRPr="00C96FA1">
              <w:rPr>
                <w:rFonts w:ascii="Times New Roman" w:eastAsia="Times New Roman" w:hAnsi="Times New Roman" w:cs="Times New Roman"/>
                <w:sz w:val="20"/>
                <w:szCs w:val="20"/>
                <w:lang w:eastAsia="pt-BR"/>
              </w:rPr>
              <w:t xml:space="preserve">B1) + CLORIDRATO DE PIRIDOXINA(B6)+ CIANOCOBALAMINA(B12) 100 </w:t>
            </w:r>
            <w:r w:rsidRPr="00C96FA1">
              <w:rPr>
                <w:rFonts w:ascii="Times New Roman" w:eastAsia="Times New Roman" w:hAnsi="Times New Roman" w:cs="Times New Roman"/>
                <w:sz w:val="20"/>
                <w:szCs w:val="20"/>
                <w:lang w:eastAsia="pt-BR"/>
              </w:rPr>
              <w:lastRenderedPageBreak/>
              <w:t>mg+100mg+5.000mcg injetável, ampola com 1 ml</w:t>
            </w:r>
          </w:p>
        </w:tc>
        <w:tc>
          <w:tcPr>
            <w:tcW w:w="1972" w:type="dxa"/>
            <w:shd w:val="clear" w:color="auto" w:fill="auto"/>
          </w:tcPr>
          <w:p w14:paraId="0233D74E"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lastRenderedPageBreak/>
              <w:t>MERCK</w:t>
            </w:r>
          </w:p>
        </w:tc>
        <w:tc>
          <w:tcPr>
            <w:tcW w:w="894" w:type="dxa"/>
            <w:shd w:val="clear" w:color="auto" w:fill="auto"/>
          </w:tcPr>
          <w:p w14:paraId="19D77FA3"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7B4861D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300,00</w:t>
            </w:r>
          </w:p>
        </w:tc>
        <w:tc>
          <w:tcPr>
            <w:tcW w:w="900" w:type="dxa"/>
            <w:shd w:val="clear" w:color="auto" w:fill="auto"/>
          </w:tcPr>
          <w:p w14:paraId="22DD51FD"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4,5000</w:t>
            </w:r>
          </w:p>
        </w:tc>
        <w:tc>
          <w:tcPr>
            <w:tcW w:w="980" w:type="dxa"/>
            <w:shd w:val="clear" w:color="auto" w:fill="auto"/>
          </w:tcPr>
          <w:p w14:paraId="1F9F2044"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1.350,00</w:t>
            </w:r>
          </w:p>
        </w:tc>
      </w:tr>
      <w:tr w:rsidR="00C96FA1" w:rsidRPr="00C96FA1" w14:paraId="3B2769D6" w14:textId="77777777" w:rsidTr="00C96FA1">
        <w:tc>
          <w:tcPr>
            <w:tcW w:w="583" w:type="dxa"/>
            <w:shd w:val="clear" w:color="auto" w:fill="auto"/>
          </w:tcPr>
          <w:p w14:paraId="0B8C93AE"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lastRenderedPageBreak/>
              <w:t>94</w:t>
            </w:r>
          </w:p>
        </w:tc>
        <w:tc>
          <w:tcPr>
            <w:tcW w:w="4103" w:type="dxa"/>
            <w:shd w:val="clear" w:color="auto" w:fill="auto"/>
          </w:tcPr>
          <w:p w14:paraId="2B0A42BE"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DIOSMINA, composição: associada à HESPERIDINA, </w:t>
            </w:r>
            <w:proofErr w:type="gramStart"/>
            <w:r w:rsidRPr="00C96FA1">
              <w:rPr>
                <w:rFonts w:ascii="Times New Roman" w:eastAsia="Times New Roman" w:hAnsi="Times New Roman" w:cs="Times New Roman"/>
                <w:sz w:val="20"/>
                <w:szCs w:val="20"/>
                <w:lang w:eastAsia="pt-BR"/>
              </w:rPr>
              <w:t>concentração:</w:t>
            </w:r>
            <w:proofErr w:type="gramEnd"/>
            <w:r w:rsidRPr="00C96FA1">
              <w:rPr>
                <w:rFonts w:ascii="Times New Roman" w:eastAsia="Times New Roman" w:hAnsi="Times New Roman" w:cs="Times New Roman"/>
                <w:sz w:val="20"/>
                <w:szCs w:val="20"/>
                <w:lang w:eastAsia="pt-BR"/>
              </w:rPr>
              <w:t>900 mg + 100 mg, comprimido.  CBR 0428425</w:t>
            </w:r>
          </w:p>
        </w:tc>
        <w:tc>
          <w:tcPr>
            <w:tcW w:w="1972" w:type="dxa"/>
            <w:shd w:val="clear" w:color="auto" w:fill="auto"/>
          </w:tcPr>
          <w:p w14:paraId="43AF464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MOMENTA</w:t>
            </w:r>
          </w:p>
        </w:tc>
        <w:tc>
          <w:tcPr>
            <w:tcW w:w="894" w:type="dxa"/>
            <w:shd w:val="clear" w:color="auto" w:fill="auto"/>
          </w:tcPr>
          <w:p w14:paraId="3627975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27E5A904"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1.000,00</w:t>
            </w:r>
          </w:p>
        </w:tc>
        <w:tc>
          <w:tcPr>
            <w:tcW w:w="900" w:type="dxa"/>
            <w:shd w:val="clear" w:color="auto" w:fill="auto"/>
          </w:tcPr>
          <w:p w14:paraId="3091D213"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3,4000</w:t>
            </w:r>
          </w:p>
        </w:tc>
        <w:tc>
          <w:tcPr>
            <w:tcW w:w="980" w:type="dxa"/>
            <w:shd w:val="clear" w:color="auto" w:fill="auto"/>
          </w:tcPr>
          <w:p w14:paraId="6534F1A6"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3.400,00</w:t>
            </w:r>
          </w:p>
        </w:tc>
      </w:tr>
      <w:tr w:rsidR="00C96FA1" w:rsidRPr="00C96FA1" w14:paraId="0CA65718" w14:textId="77777777" w:rsidTr="00C96FA1">
        <w:tc>
          <w:tcPr>
            <w:tcW w:w="583" w:type="dxa"/>
            <w:shd w:val="clear" w:color="auto" w:fill="auto"/>
          </w:tcPr>
          <w:p w14:paraId="72140C3C"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111</w:t>
            </w:r>
          </w:p>
        </w:tc>
        <w:tc>
          <w:tcPr>
            <w:tcW w:w="4103" w:type="dxa"/>
            <w:shd w:val="clear" w:color="auto" w:fill="auto"/>
          </w:tcPr>
          <w:p w14:paraId="06263D4E"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ENILEFRINA CLORIDRATO, associada à </w:t>
            </w:r>
            <w:proofErr w:type="gramStart"/>
            <w:r w:rsidRPr="00C96FA1">
              <w:rPr>
                <w:rFonts w:ascii="Times New Roman" w:eastAsia="Times New Roman" w:hAnsi="Times New Roman" w:cs="Times New Roman"/>
                <w:sz w:val="20"/>
                <w:szCs w:val="20"/>
                <w:lang w:eastAsia="pt-BR"/>
              </w:rPr>
              <w:t>BRONFENIRAMINA,</w:t>
            </w:r>
            <w:proofErr w:type="gramEnd"/>
            <w:r w:rsidRPr="00C96FA1">
              <w:rPr>
                <w:rFonts w:ascii="Times New Roman" w:eastAsia="Times New Roman" w:hAnsi="Times New Roman" w:cs="Times New Roman"/>
                <w:sz w:val="20"/>
                <w:szCs w:val="20"/>
                <w:lang w:eastAsia="pt-BR"/>
              </w:rPr>
              <w:t>1mg + 0,4 Mg/Ml, Xarope. Frasco com 120 ml CBR 0319763</w:t>
            </w:r>
          </w:p>
        </w:tc>
        <w:tc>
          <w:tcPr>
            <w:tcW w:w="1972" w:type="dxa"/>
            <w:shd w:val="clear" w:color="auto" w:fill="auto"/>
          </w:tcPr>
          <w:p w14:paraId="040A953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ACHE</w:t>
            </w:r>
          </w:p>
        </w:tc>
        <w:tc>
          <w:tcPr>
            <w:tcW w:w="894" w:type="dxa"/>
            <w:shd w:val="clear" w:color="auto" w:fill="auto"/>
          </w:tcPr>
          <w:p w14:paraId="250ACAC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Frasco</w:t>
            </w:r>
          </w:p>
        </w:tc>
        <w:tc>
          <w:tcPr>
            <w:tcW w:w="916" w:type="dxa"/>
            <w:shd w:val="clear" w:color="auto" w:fill="auto"/>
          </w:tcPr>
          <w:p w14:paraId="2A10FFF1"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50,00</w:t>
            </w:r>
          </w:p>
        </w:tc>
        <w:tc>
          <w:tcPr>
            <w:tcW w:w="900" w:type="dxa"/>
            <w:shd w:val="clear" w:color="auto" w:fill="auto"/>
          </w:tcPr>
          <w:p w14:paraId="6937925F"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16,6400</w:t>
            </w:r>
          </w:p>
        </w:tc>
        <w:tc>
          <w:tcPr>
            <w:tcW w:w="980" w:type="dxa"/>
            <w:shd w:val="clear" w:color="auto" w:fill="auto"/>
          </w:tcPr>
          <w:p w14:paraId="13F72DD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832,00</w:t>
            </w:r>
          </w:p>
        </w:tc>
      </w:tr>
      <w:tr w:rsidR="00C96FA1" w:rsidRPr="00C96FA1" w14:paraId="178C0D70" w14:textId="77777777" w:rsidTr="00C96FA1">
        <w:tc>
          <w:tcPr>
            <w:tcW w:w="583" w:type="dxa"/>
            <w:shd w:val="clear" w:color="auto" w:fill="auto"/>
          </w:tcPr>
          <w:p w14:paraId="6467D9DB"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151</w:t>
            </w:r>
          </w:p>
        </w:tc>
        <w:tc>
          <w:tcPr>
            <w:tcW w:w="4103" w:type="dxa"/>
            <w:shd w:val="clear" w:color="auto" w:fill="auto"/>
          </w:tcPr>
          <w:p w14:paraId="7F1D91DA"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GLICOSE 25%, solução injetável, ampola com </w:t>
            </w:r>
            <w:proofErr w:type="gramStart"/>
            <w:r w:rsidRPr="00C96FA1">
              <w:rPr>
                <w:rFonts w:ascii="Times New Roman" w:eastAsia="Times New Roman" w:hAnsi="Times New Roman" w:cs="Times New Roman"/>
                <w:sz w:val="20"/>
                <w:szCs w:val="20"/>
                <w:lang w:eastAsia="pt-BR"/>
              </w:rPr>
              <w:t>10ml</w:t>
            </w:r>
            <w:proofErr w:type="gramEnd"/>
            <w:r w:rsidRPr="00C96FA1">
              <w:rPr>
                <w:rFonts w:ascii="Times New Roman" w:eastAsia="Times New Roman" w:hAnsi="Times New Roman" w:cs="Times New Roman"/>
                <w:sz w:val="20"/>
                <w:szCs w:val="20"/>
                <w:lang w:eastAsia="pt-BR"/>
              </w:rPr>
              <w:t>. CBR 267540</w:t>
            </w:r>
          </w:p>
        </w:tc>
        <w:tc>
          <w:tcPr>
            <w:tcW w:w="1972" w:type="dxa"/>
            <w:shd w:val="clear" w:color="auto" w:fill="auto"/>
          </w:tcPr>
          <w:p w14:paraId="2C715C98"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SAMTEC</w:t>
            </w:r>
          </w:p>
        </w:tc>
        <w:tc>
          <w:tcPr>
            <w:tcW w:w="894" w:type="dxa"/>
            <w:shd w:val="clear" w:color="auto" w:fill="auto"/>
          </w:tcPr>
          <w:p w14:paraId="13FA0B9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7A9A4CB4"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600,00</w:t>
            </w:r>
          </w:p>
        </w:tc>
        <w:tc>
          <w:tcPr>
            <w:tcW w:w="900" w:type="dxa"/>
            <w:shd w:val="clear" w:color="auto" w:fill="auto"/>
          </w:tcPr>
          <w:p w14:paraId="0C7D9AD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0,2400</w:t>
            </w:r>
          </w:p>
        </w:tc>
        <w:tc>
          <w:tcPr>
            <w:tcW w:w="980" w:type="dxa"/>
            <w:shd w:val="clear" w:color="auto" w:fill="auto"/>
          </w:tcPr>
          <w:p w14:paraId="49A9F0EA"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144,00</w:t>
            </w:r>
          </w:p>
        </w:tc>
      </w:tr>
      <w:tr w:rsidR="00C96FA1" w:rsidRPr="00C96FA1" w14:paraId="1EB86E45" w14:textId="77777777" w:rsidTr="00C96FA1">
        <w:tc>
          <w:tcPr>
            <w:tcW w:w="583" w:type="dxa"/>
            <w:shd w:val="clear" w:color="auto" w:fill="auto"/>
          </w:tcPr>
          <w:p w14:paraId="72EC3FA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159</w:t>
            </w:r>
          </w:p>
        </w:tc>
        <w:tc>
          <w:tcPr>
            <w:tcW w:w="4103" w:type="dxa"/>
            <w:shd w:val="clear" w:color="auto" w:fill="auto"/>
          </w:tcPr>
          <w:p w14:paraId="6C52CBD2"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HIALURONIDASE associada com lidocaína e neomicina sulfato, 100 </w:t>
            </w:r>
            <w:proofErr w:type="spellStart"/>
            <w:r w:rsidRPr="00C96FA1">
              <w:rPr>
                <w:rFonts w:ascii="Times New Roman" w:eastAsia="Times New Roman" w:hAnsi="Times New Roman" w:cs="Times New Roman"/>
                <w:sz w:val="20"/>
                <w:szCs w:val="20"/>
                <w:lang w:eastAsia="pt-BR"/>
              </w:rPr>
              <w:t>utr</w:t>
            </w:r>
            <w:proofErr w:type="spellEnd"/>
            <w:r w:rsidRPr="00C96FA1">
              <w:rPr>
                <w:rFonts w:ascii="Times New Roman" w:eastAsia="Times New Roman" w:hAnsi="Times New Roman" w:cs="Times New Roman"/>
                <w:sz w:val="20"/>
                <w:szCs w:val="20"/>
                <w:lang w:eastAsia="pt-BR"/>
              </w:rPr>
              <w:t xml:space="preserve"> + 50 </w:t>
            </w:r>
            <w:proofErr w:type="gramStart"/>
            <w:r w:rsidRPr="00C96FA1">
              <w:rPr>
                <w:rFonts w:ascii="Times New Roman" w:eastAsia="Times New Roman" w:hAnsi="Times New Roman" w:cs="Times New Roman"/>
                <w:sz w:val="20"/>
                <w:szCs w:val="20"/>
                <w:lang w:eastAsia="pt-BR"/>
              </w:rPr>
              <w:t>mg</w:t>
            </w:r>
            <w:proofErr w:type="gramEnd"/>
            <w:r w:rsidRPr="00C96FA1">
              <w:rPr>
                <w:rFonts w:ascii="Times New Roman" w:eastAsia="Times New Roman" w:hAnsi="Times New Roman" w:cs="Times New Roman"/>
                <w:sz w:val="20"/>
                <w:szCs w:val="20"/>
                <w:lang w:eastAsia="pt-BR"/>
              </w:rPr>
              <w:t xml:space="preserve"> + 5 mg/ml, solução otológica. Frasco com</w:t>
            </w:r>
            <w:proofErr w:type="gramStart"/>
            <w:r w:rsidRPr="00C96FA1">
              <w:rPr>
                <w:rFonts w:ascii="Times New Roman" w:eastAsia="Times New Roman" w:hAnsi="Times New Roman" w:cs="Times New Roman"/>
                <w:sz w:val="20"/>
                <w:szCs w:val="20"/>
                <w:lang w:eastAsia="pt-BR"/>
              </w:rPr>
              <w:t xml:space="preserve">  </w:t>
            </w:r>
            <w:proofErr w:type="gramEnd"/>
            <w:r w:rsidRPr="00C96FA1">
              <w:rPr>
                <w:rFonts w:ascii="Times New Roman" w:eastAsia="Times New Roman" w:hAnsi="Times New Roman" w:cs="Times New Roman"/>
                <w:sz w:val="20"/>
                <w:szCs w:val="20"/>
                <w:lang w:eastAsia="pt-BR"/>
              </w:rPr>
              <w:t>8 ml. CBR 0291019</w:t>
            </w:r>
          </w:p>
        </w:tc>
        <w:tc>
          <w:tcPr>
            <w:tcW w:w="1972" w:type="dxa"/>
            <w:shd w:val="clear" w:color="auto" w:fill="auto"/>
          </w:tcPr>
          <w:p w14:paraId="3F6235B2"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APSEN</w:t>
            </w:r>
          </w:p>
        </w:tc>
        <w:tc>
          <w:tcPr>
            <w:tcW w:w="894" w:type="dxa"/>
            <w:shd w:val="clear" w:color="auto" w:fill="auto"/>
          </w:tcPr>
          <w:p w14:paraId="35B2B1A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Frasco</w:t>
            </w:r>
          </w:p>
        </w:tc>
        <w:tc>
          <w:tcPr>
            <w:tcW w:w="916" w:type="dxa"/>
            <w:shd w:val="clear" w:color="auto" w:fill="auto"/>
          </w:tcPr>
          <w:p w14:paraId="2355174D"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300,00</w:t>
            </w:r>
          </w:p>
        </w:tc>
        <w:tc>
          <w:tcPr>
            <w:tcW w:w="900" w:type="dxa"/>
            <w:shd w:val="clear" w:color="auto" w:fill="auto"/>
          </w:tcPr>
          <w:p w14:paraId="126BA61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15,3400</w:t>
            </w:r>
          </w:p>
        </w:tc>
        <w:tc>
          <w:tcPr>
            <w:tcW w:w="980" w:type="dxa"/>
            <w:shd w:val="clear" w:color="auto" w:fill="auto"/>
          </w:tcPr>
          <w:p w14:paraId="46CF6DE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4.602,00</w:t>
            </w:r>
          </w:p>
        </w:tc>
      </w:tr>
      <w:tr w:rsidR="00C96FA1" w:rsidRPr="00C96FA1" w14:paraId="24434220" w14:textId="77777777" w:rsidTr="00C96FA1">
        <w:tc>
          <w:tcPr>
            <w:tcW w:w="583" w:type="dxa"/>
            <w:shd w:val="clear" w:color="auto" w:fill="auto"/>
          </w:tcPr>
          <w:p w14:paraId="246B12C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179</w:t>
            </w:r>
          </w:p>
        </w:tc>
        <w:tc>
          <w:tcPr>
            <w:tcW w:w="4103" w:type="dxa"/>
            <w:shd w:val="clear" w:color="auto" w:fill="auto"/>
          </w:tcPr>
          <w:p w14:paraId="3ABB26BE"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LIMECICLINA 300 </w:t>
            </w:r>
            <w:proofErr w:type="gramStart"/>
            <w:r w:rsidRPr="00C96FA1">
              <w:rPr>
                <w:rFonts w:ascii="Times New Roman" w:eastAsia="Times New Roman" w:hAnsi="Times New Roman" w:cs="Times New Roman"/>
                <w:sz w:val="20"/>
                <w:szCs w:val="20"/>
                <w:lang w:eastAsia="pt-BR"/>
              </w:rPr>
              <w:t>mg</w:t>
            </w:r>
            <w:proofErr w:type="gramEnd"/>
            <w:r w:rsidRPr="00C96FA1">
              <w:rPr>
                <w:rFonts w:ascii="Times New Roman" w:eastAsia="Times New Roman" w:hAnsi="Times New Roman" w:cs="Times New Roman"/>
                <w:sz w:val="20"/>
                <w:szCs w:val="20"/>
                <w:lang w:eastAsia="pt-BR"/>
              </w:rPr>
              <w:t>. Capsula CBR 0361504</w:t>
            </w:r>
          </w:p>
        </w:tc>
        <w:tc>
          <w:tcPr>
            <w:tcW w:w="1972" w:type="dxa"/>
            <w:shd w:val="clear" w:color="auto" w:fill="auto"/>
          </w:tcPr>
          <w:p w14:paraId="38CA1C71"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GALDERMA</w:t>
            </w:r>
          </w:p>
        </w:tc>
        <w:tc>
          <w:tcPr>
            <w:tcW w:w="894" w:type="dxa"/>
            <w:shd w:val="clear" w:color="auto" w:fill="auto"/>
          </w:tcPr>
          <w:p w14:paraId="3CB1F796"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12741BD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300,00</w:t>
            </w:r>
          </w:p>
        </w:tc>
        <w:tc>
          <w:tcPr>
            <w:tcW w:w="900" w:type="dxa"/>
            <w:shd w:val="clear" w:color="auto" w:fill="auto"/>
          </w:tcPr>
          <w:p w14:paraId="0B5D0BF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7,4200</w:t>
            </w:r>
          </w:p>
        </w:tc>
        <w:tc>
          <w:tcPr>
            <w:tcW w:w="980" w:type="dxa"/>
            <w:shd w:val="clear" w:color="auto" w:fill="auto"/>
          </w:tcPr>
          <w:p w14:paraId="0BA06B5B"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2.226,00</w:t>
            </w:r>
          </w:p>
        </w:tc>
      </w:tr>
      <w:tr w:rsidR="00C96FA1" w:rsidRPr="00C96FA1" w14:paraId="7EA28945" w14:textId="77777777" w:rsidTr="00C96FA1">
        <w:tc>
          <w:tcPr>
            <w:tcW w:w="583" w:type="dxa"/>
            <w:shd w:val="clear" w:color="auto" w:fill="auto"/>
          </w:tcPr>
          <w:p w14:paraId="434C84B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184</w:t>
            </w:r>
          </w:p>
        </w:tc>
        <w:tc>
          <w:tcPr>
            <w:tcW w:w="4103" w:type="dxa"/>
            <w:shd w:val="clear" w:color="auto" w:fill="auto"/>
          </w:tcPr>
          <w:p w14:paraId="698C3812"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LOSARTANA POTÁSSICA 100 </w:t>
            </w:r>
            <w:proofErr w:type="gramStart"/>
            <w:r w:rsidRPr="00C96FA1">
              <w:rPr>
                <w:rFonts w:ascii="Times New Roman" w:eastAsia="Times New Roman" w:hAnsi="Times New Roman" w:cs="Times New Roman"/>
                <w:sz w:val="20"/>
                <w:szCs w:val="20"/>
                <w:lang w:eastAsia="pt-BR"/>
              </w:rPr>
              <w:t>mg</w:t>
            </w:r>
            <w:proofErr w:type="gramEnd"/>
            <w:r w:rsidRPr="00C96FA1">
              <w:rPr>
                <w:rFonts w:ascii="Times New Roman" w:eastAsia="Times New Roman" w:hAnsi="Times New Roman" w:cs="Times New Roman"/>
                <w:sz w:val="20"/>
                <w:szCs w:val="20"/>
                <w:lang w:eastAsia="pt-BR"/>
              </w:rPr>
              <w:t>, Comprimido CBR 287473</w:t>
            </w:r>
          </w:p>
        </w:tc>
        <w:tc>
          <w:tcPr>
            <w:tcW w:w="1972" w:type="dxa"/>
            <w:shd w:val="clear" w:color="auto" w:fill="auto"/>
          </w:tcPr>
          <w:p w14:paraId="434FF157"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PRATIDONADUZZI</w:t>
            </w:r>
          </w:p>
        </w:tc>
        <w:tc>
          <w:tcPr>
            <w:tcW w:w="894" w:type="dxa"/>
            <w:shd w:val="clear" w:color="auto" w:fill="auto"/>
          </w:tcPr>
          <w:p w14:paraId="6CEA788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7A1F091E"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5.000,00</w:t>
            </w:r>
          </w:p>
        </w:tc>
        <w:tc>
          <w:tcPr>
            <w:tcW w:w="900" w:type="dxa"/>
            <w:shd w:val="clear" w:color="auto" w:fill="auto"/>
          </w:tcPr>
          <w:p w14:paraId="13ADACBA"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0,2900</w:t>
            </w:r>
          </w:p>
        </w:tc>
        <w:tc>
          <w:tcPr>
            <w:tcW w:w="980" w:type="dxa"/>
            <w:shd w:val="clear" w:color="auto" w:fill="auto"/>
          </w:tcPr>
          <w:p w14:paraId="08C8138C"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1.450,00</w:t>
            </w:r>
          </w:p>
        </w:tc>
      </w:tr>
      <w:tr w:rsidR="00C96FA1" w:rsidRPr="00C96FA1" w14:paraId="3DD97A37" w14:textId="77777777" w:rsidTr="00C96FA1">
        <w:tc>
          <w:tcPr>
            <w:tcW w:w="583" w:type="dxa"/>
            <w:shd w:val="clear" w:color="auto" w:fill="auto"/>
          </w:tcPr>
          <w:p w14:paraId="3C790ABC"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286</w:t>
            </w:r>
          </w:p>
        </w:tc>
        <w:tc>
          <w:tcPr>
            <w:tcW w:w="4103" w:type="dxa"/>
            <w:shd w:val="clear" w:color="auto" w:fill="auto"/>
          </w:tcPr>
          <w:p w14:paraId="0A9DB314"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VALSARTANA 320 </w:t>
            </w:r>
            <w:proofErr w:type="gramStart"/>
            <w:r w:rsidRPr="00C96FA1">
              <w:rPr>
                <w:rFonts w:ascii="Times New Roman" w:eastAsia="Times New Roman" w:hAnsi="Times New Roman" w:cs="Times New Roman"/>
                <w:sz w:val="20"/>
                <w:szCs w:val="20"/>
                <w:lang w:eastAsia="pt-BR"/>
              </w:rPr>
              <w:t>mg</w:t>
            </w:r>
            <w:proofErr w:type="gramEnd"/>
            <w:r w:rsidRPr="00C96FA1">
              <w:rPr>
                <w:rFonts w:ascii="Times New Roman" w:eastAsia="Times New Roman" w:hAnsi="Times New Roman" w:cs="Times New Roman"/>
                <w:sz w:val="20"/>
                <w:szCs w:val="20"/>
                <w:lang w:eastAsia="pt-BR"/>
              </w:rPr>
              <w:t>, comprimido CBR 0306146</w:t>
            </w:r>
          </w:p>
        </w:tc>
        <w:tc>
          <w:tcPr>
            <w:tcW w:w="1972" w:type="dxa"/>
            <w:shd w:val="clear" w:color="auto" w:fill="auto"/>
          </w:tcPr>
          <w:p w14:paraId="5EEBC581"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EUROFARMA</w:t>
            </w:r>
          </w:p>
        </w:tc>
        <w:tc>
          <w:tcPr>
            <w:tcW w:w="894" w:type="dxa"/>
            <w:shd w:val="clear" w:color="auto" w:fill="auto"/>
          </w:tcPr>
          <w:p w14:paraId="1604CB6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50FB99E3"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5.000,00</w:t>
            </w:r>
          </w:p>
        </w:tc>
        <w:tc>
          <w:tcPr>
            <w:tcW w:w="900" w:type="dxa"/>
            <w:shd w:val="clear" w:color="auto" w:fill="auto"/>
          </w:tcPr>
          <w:p w14:paraId="5F4B7C25"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1,2600</w:t>
            </w:r>
          </w:p>
        </w:tc>
        <w:tc>
          <w:tcPr>
            <w:tcW w:w="980" w:type="dxa"/>
            <w:shd w:val="clear" w:color="auto" w:fill="auto"/>
          </w:tcPr>
          <w:p w14:paraId="6DE679BF"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6.300,00</w:t>
            </w:r>
          </w:p>
        </w:tc>
      </w:tr>
      <w:tr w:rsidR="00C96FA1" w:rsidRPr="00C96FA1" w14:paraId="2613537A" w14:textId="77777777" w:rsidTr="00C96FA1">
        <w:tc>
          <w:tcPr>
            <w:tcW w:w="583" w:type="dxa"/>
            <w:shd w:val="clear" w:color="auto" w:fill="auto"/>
          </w:tcPr>
          <w:p w14:paraId="5B32642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287</w:t>
            </w:r>
          </w:p>
        </w:tc>
        <w:tc>
          <w:tcPr>
            <w:tcW w:w="4103" w:type="dxa"/>
            <w:shd w:val="clear" w:color="auto" w:fill="auto"/>
          </w:tcPr>
          <w:p w14:paraId="3737F8CA"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VALSARTANA, associado à HIDROCLOROTIAZIDA, 160 </w:t>
            </w:r>
            <w:proofErr w:type="gramStart"/>
            <w:r w:rsidRPr="00C96FA1">
              <w:rPr>
                <w:rFonts w:ascii="Times New Roman" w:eastAsia="Times New Roman" w:hAnsi="Times New Roman" w:cs="Times New Roman"/>
                <w:sz w:val="20"/>
                <w:szCs w:val="20"/>
                <w:lang w:eastAsia="pt-BR"/>
              </w:rPr>
              <w:t>mg</w:t>
            </w:r>
            <w:proofErr w:type="gramEnd"/>
            <w:r w:rsidRPr="00C96FA1">
              <w:rPr>
                <w:rFonts w:ascii="Times New Roman" w:eastAsia="Times New Roman" w:hAnsi="Times New Roman" w:cs="Times New Roman"/>
                <w:sz w:val="20"/>
                <w:szCs w:val="20"/>
                <w:lang w:eastAsia="pt-BR"/>
              </w:rPr>
              <w:t xml:space="preserve"> + 25 mg. CBR0370525</w:t>
            </w:r>
          </w:p>
        </w:tc>
        <w:tc>
          <w:tcPr>
            <w:tcW w:w="1972" w:type="dxa"/>
            <w:shd w:val="clear" w:color="auto" w:fill="auto"/>
          </w:tcPr>
          <w:p w14:paraId="79503D1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ACHE</w:t>
            </w:r>
          </w:p>
        </w:tc>
        <w:tc>
          <w:tcPr>
            <w:tcW w:w="894" w:type="dxa"/>
            <w:shd w:val="clear" w:color="auto" w:fill="auto"/>
          </w:tcPr>
          <w:p w14:paraId="16438D4B"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3890411A"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1.500,00</w:t>
            </w:r>
          </w:p>
        </w:tc>
        <w:tc>
          <w:tcPr>
            <w:tcW w:w="900" w:type="dxa"/>
            <w:shd w:val="clear" w:color="auto" w:fill="auto"/>
          </w:tcPr>
          <w:p w14:paraId="111E4788"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1,5600</w:t>
            </w:r>
          </w:p>
        </w:tc>
        <w:tc>
          <w:tcPr>
            <w:tcW w:w="980" w:type="dxa"/>
            <w:shd w:val="clear" w:color="auto" w:fill="auto"/>
          </w:tcPr>
          <w:p w14:paraId="51AAF204"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2.340,00</w:t>
            </w:r>
          </w:p>
        </w:tc>
      </w:tr>
      <w:tr w:rsidR="00C96FA1" w:rsidRPr="00C96FA1" w14:paraId="31BF8AF8" w14:textId="77777777" w:rsidTr="00C96FA1">
        <w:tc>
          <w:tcPr>
            <w:tcW w:w="583" w:type="dxa"/>
            <w:shd w:val="clear" w:color="auto" w:fill="auto"/>
          </w:tcPr>
          <w:p w14:paraId="4E7648DC"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291</w:t>
            </w:r>
          </w:p>
        </w:tc>
        <w:tc>
          <w:tcPr>
            <w:tcW w:w="4103" w:type="dxa"/>
            <w:shd w:val="clear" w:color="auto" w:fill="auto"/>
          </w:tcPr>
          <w:p w14:paraId="2AD5FC16"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 xml:space="preserve">VITAMINAS DO COMPLEXO B, composição básica: B1, B2, B5, B6 E PP, solução injetável. Ampola com </w:t>
            </w:r>
            <w:proofErr w:type="gramStart"/>
            <w:r w:rsidRPr="00C96FA1">
              <w:rPr>
                <w:rFonts w:ascii="Times New Roman" w:eastAsia="Times New Roman" w:hAnsi="Times New Roman" w:cs="Times New Roman"/>
                <w:sz w:val="20"/>
                <w:szCs w:val="20"/>
                <w:lang w:eastAsia="pt-BR"/>
              </w:rPr>
              <w:t>2</w:t>
            </w:r>
            <w:proofErr w:type="gramEnd"/>
            <w:r w:rsidRPr="00C96FA1">
              <w:rPr>
                <w:rFonts w:ascii="Times New Roman" w:eastAsia="Times New Roman" w:hAnsi="Times New Roman" w:cs="Times New Roman"/>
                <w:sz w:val="20"/>
                <w:szCs w:val="20"/>
                <w:lang w:eastAsia="pt-BR"/>
              </w:rPr>
              <w:t xml:space="preserve"> ml. CBR 0363088</w:t>
            </w:r>
          </w:p>
        </w:tc>
        <w:tc>
          <w:tcPr>
            <w:tcW w:w="1972" w:type="dxa"/>
            <w:shd w:val="clear" w:color="auto" w:fill="auto"/>
          </w:tcPr>
          <w:p w14:paraId="6E349B80"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HYPOFARMA</w:t>
            </w:r>
          </w:p>
        </w:tc>
        <w:tc>
          <w:tcPr>
            <w:tcW w:w="894" w:type="dxa"/>
            <w:shd w:val="clear" w:color="auto" w:fill="auto"/>
          </w:tcPr>
          <w:p w14:paraId="733E7096"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UNID</w:t>
            </w:r>
          </w:p>
        </w:tc>
        <w:tc>
          <w:tcPr>
            <w:tcW w:w="916" w:type="dxa"/>
            <w:shd w:val="clear" w:color="auto" w:fill="auto"/>
          </w:tcPr>
          <w:p w14:paraId="3D722AB2"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800,00</w:t>
            </w:r>
          </w:p>
        </w:tc>
        <w:tc>
          <w:tcPr>
            <w:tcW w:w="900" w:type="dxa"/>
            <w:shd w:val="clear" w:color="auto" w:fill="auto"/>
          </w:tcPr>
          <w:p w14:paraId="5FDCC06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0,8900</w:t>
            </w:r>
          </w:p>
        </w:tc>
        <w:tc>
          <w:tcPr>
            <w:tcW w:w="980" w:type="dxa"/>
            <w:shd w:val="clear" w:color="auto" w:fill="auto"/>
          </w:tcPr>
          <w:p w14:paraId="32CE5C81"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712,00</w:t>
            </w:r>
          </w:p>
        </w:tc>
      </w:tr>
      <w:tr w:rsidR="00C96FA1" w:rsidRPr="00C96FA1" w14:paraId="7A726E15" w14:textId="77777777" w:rsidTr="00C96FA1">
        <w:tc>
          <w:tcPr>
            <w:tcW w:w="583" w:type="dxa"/>
            <w:shd w:val="clear" w:color="auto" w:fill="auto"/>
          </w:tcPr>
          <w:p w14:paraId="1C43183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303</w:t>
            </w:r>
          </w:p>
        </w:tc>
        <w:tc>
          <w:tcPr>
            <w:tcW w:w="4103" w:type="dxa"/>
            <w:shd w:val="clear" w:color="auto" w:fill="auto"/>
          </w:tcPr>
          <w:p w14:paraId="55050B29" w14:textId="77777777" w:rsidR="00C96FA1" w:rsidRPr="00C96FA1" w:rsidRDefault="00C96FA1" w:rsidP="00C96FA1">
            <w:pPr>
              <w:spacing w:after="0" w:line="240" w:lineRule="auto"/>
              <w:jc w:val="both"/>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ÁLCOOL ETÍLICO HIDRATADO, 70% (70°GL). Apresentação: gel</w:t>
            </w:r>
            <w:proofErr w:type="gramStart"/>
            <w:r w:rsidRPr="00C96FA1">
              <w:rPr>
                <w:rFonts w:ascii="Times New Roman" w:eastAsia="Times New Roman" w:hAnsi="Times New Roman" w:cs="Times New Roman"/>
                <w:sz w:val="20"/>
                <w:szCs w:val="20"/>
                <w:lang w:eastAsia="pt-BR"/>
              </w:rPr>
              <w:t xml:space="preserve">   </w:t>
            </w:r>
            <w:proofErr w:type="gramEnd"/>
            <w:r w:rsidRPr="00C96FA1">
              <w:rPr>
                <w:rFonts w:ascii="Times New Roman" w:eastAsia="Times New Roman" w:hAnsi="Times New Roman" w:cs="Times New Roman"/>
                <w:sz w:val="20"/>
                <w:szCs w:val="20"/>
                <w:lang w:eastAsia="pt-BR"/>
              </w:rPr>
              <w:t>Frasco: 1.000 ml CBR 0269943</w:t>
            </w:r>
          </w:p>
        </w:tc>
        <w:tc>
          <w:tcPr>
            <w:tcW w:w="1972" w:type="dxa"/>
            <w:shd w:val="clear" w:color="auto" w:fill="auto"/>
          </w:tcPr>
          <w:p w14:paraId="3D8A168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SAFRA</w:t>
            </w:r>
          </w:p>
        </w:tc>
        <w:tc>
          <w:tcPr>
            <w:tcW w:w="894" w:type="dxa"/>
            <w:shd w:val="clear" w:color="auto" w:fill="auto"/>
          </w:tcPr>
          <w:p w14:paraId="758F5C29"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Frasco</w:t>
            </w:r>
          </w:p>
        </w:tc>
        <w:tc>
          <w:tcPr>
            <w:tcW w:w="916" w:type="dxa"/>
            <w:shd w:val="clear" w:color="auto" w:fill="auto"/>
          </w:tcPr>
          <w:p w14:paraId="17CF7B4C"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500,00</w:t>
            </w:r>
          </w:p>
        </w:tc>
        <w:tc>
          <w:tcPr>
            <w:tcW w:w="900" w:type="dxa"/>
            <w:shd w:val="clear" w:color="auto" w:fill="auto"/>
          </w:tcPr>
          <w:p w14:paraId="0DB9C364"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4,5500</w:t>
            </w:r>
          </w:p>
        </w:tc>
        <w:tc>
          <w:tcPr>
            <w:tcW w:w="980" w:type="dxa"/>
            <w:shd w:val="clear" w:color="auto" w:fill="auto"/>
          </w:tcPr>
          <w:p w14:paraId="2A899052" w14:textId="77777777" w:rsidR="00C96FA1" w:rsidRPr="00C96FA1" w:rsidRDefault="00C96FA1" w:rsidP="00C96FA1">
            <w:pPr>
              <w:spacing w:after="0" w:line="240" w:lineRule="auto"/>
              <w:rPr>
                <w:rFonts w:ascii="Times New Roman" w:eastAsia="Times New Roman" w:hAnsi="Times New Roman" w:cs="Times New Roman"/>
                <w:sz w:val="20"/>
                <w:szCs w:val="20"/>
                <w:lang w:eastAsia="pt-BR"/>
              </w:rPr>
            </w:pPr>
            <w:r w:rsidRPr="00C96FA1">
              <w:rPr>
                <w:rFonts w:ascii="Times New Roman" w:eastAsia="Times New Roman" w:hAnsi="Times New Roman" w:cs="Times New Roman"/>
                <w:sz w:val="20"/>
                <w:szCs w:val="20"/>
                <w:lang w:eastAsia="pt-BR"/>
              </w:rPr>
              <w:t>2.275,00</w:t>
            </w:r>
          </w:p>
        </w:tc>
      </w:tr>
    </w:tbl>
    <w:p w14:paraId="6D0AB3DC" w14:textId="621F81B7" w:rsidR="00C96FA1" w:rsidRPr="00C96FA1" w:rsidRDefault="00C96FA1" w:rsidP="00C96FA1">
      <w:pPr>
        <w:ind w:left="5664" w:firstLine="708"/>
        <w:rPr>
          <w:rFonts w:ascii="Arial" w:eastAsia="Times New Roman" w:hAnsi="Arial" w:cs="Arial"/>
          <w:b/>
          <w:sz w:val="20"/>
          <w:szCs w:val="20"/>
          <w:lang w:eastAsia="pt-BR"/>
        </w:rPr>
      </w:pPr>
      <w:r>
        <w:rPr>
          <w:rFonts w:ascii="Arial" w:eastAsia="Times New Roman" w:hAnsi="Arial" w:cs="Arial"/>
          <w:b/>
          <w:sz w:val="20"/>
          <w:szCs w:val="20"/>
          <w:lang w:eastAsia="pt-BR"/>
        </w:rPr>
        <w:t xml:space="preserve">  </w:t>
      </w:r>
      <w:r w:rsidRPr="00C96FA1">
        <w:rPr>
          <w:rFonts w:ascii="Arial" w:eastAsia="Times New Roman" w:hAnsi="Arial" w:cs="Arial"/>
          <w:b/>
          <w:sz w:val="20"/>
          <w:szCs w:val="20"/>
          <w:lang w:eastAsia="pt-BR"/>
        </w:rPr>
        <w:t xml:space="preserve">Valor Total Homologado - </w:t>
      </w:r>
      <w:r w:rsidRPr="00C96FA1">
        <w:rPr>
          <w:rFonts w:ascii="Arial" w:eastAsia="Times New Roman" w:hAnsi="Arial" w:cs="Arial"/>
          <w:b/>
          <w:sz w:val="20"/>
          <w:szCs w:val="20"/>
          <w:lang w:eastAsia="pt-BR"/>
        </w:rPr>
        <w:fldChar w:fldCharType="begin"/>
      </w:r>
      <w:r w:rsidRPr="00C96FA1">
        <w:rPr>
          <w:rFonts w:ascii="Arial" w:eastAsia="Times New Roman" w:hAnsi="Arial" w:cs="Arial"/>
          <w:b/>
          <w:sz w:val="20"/>
          <w:szCs w:val="20"/>
          <w:lang w:eastAsia="pt-BR"/>
        </w:rPr>
        <w:instrText xml:space="preserve"> MERGEFIELD "TotalHomologado" </w:instrText>
      </w:r>
      <w:r w:rsidRPr="00C96FA1">
        <w:rPr>
          <w:rFonts w:ascii="Arial" w:eastAsia="Times New Roman" w:hAnsi="Arial" w:cs="Arial"/>
          <w:b/>
          <w:sz w:val="20"/>
          <w:szCs w:val="20"/>
          <w:lang w:eastAsia="pt-BR"/>
        </w:rPr>
        <w:fldChar w:fldCharType="separate"/>
      </w:r>
      <w:r w:rsidRPr="00C96FA1">
        <w:rPr>
          <w:rFonts w:ascii="Arial" w:eastAsia="Times New Roman" w:hAnsi="Arial" w:cs="Arial"/>
          <w:b/>
          <w:sz w:val="20"/>
          <w:szCs w:val="20"/>
          <w:lang w:eastAsia="pt-BR"/>
        </w:rPr>
        <w:t>R$ 25.631,00</w:t>
      </w:r>
      <w:r w:rsidRPr="00C96FA1">
        <w:rPr>
          <w:rFonts w:ascii="Arial" w:eastAsia="Times New Roman" w:hAnsi="Arial" w:cs="Arial"/>
          <w:b/>
          <w:sz w:val="20"/>
          <w:szCs w:val="20"/>
          <w:lang w:eastAsia="pt-BR"/>
        </w:rPr>
        <w:fldChar w:fldCharType="end"/>
      </w:r>
    </w:p>
    <w:p w14:paraId="6DC03440" w14:textId="77777777" w:rsidR="00C96FA1" w:rsidRDefault="00C96FA1" w:rsidP="00FF003E">
      <w:pPr>
        <w:spacing w:after="0" w:line="240" w:lineRule="auto"/>
        <w:ind w:right="-54"/>
        <w:jc w:val="both"/>
        <w:rPr>
          <w:rFonts w:ascii="Arial" w:eastAsia="Times New Roman" w:hAnsi="Arial" w:cs="Arial"/>
          <w:b/>
          <w:sz w:val="23"/>
          <w:szCs w:val="23"/>
          <w:u w:val="single"/>
          <w:lang w:eastAsia="pt-BR"/>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761B074D"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C96FA1">
        <w:rPr>
          <w:rFonts w:ascii="Arial" w:eastAsia="Times New Roman" w:hAnsi="Arial" w:cs="Arial"/>
          <w:sz w:val="23"/>
          <w:szCs w:val="23"/>
          <w:lang w:eastAsia="pt-BR"/>
        </w:rPr>
        <w:t>CONTRATADA o valor de R$ 25.631,00</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lastRenderedPageBreak/>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lastRenderedPageBreak/>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lastRenderedPageBreak/>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05F40A8A" w14:textId="77777777" w:rsidR="00C96FA1" w:rsidRDefault="00C96FA1" w:rsidP="00FF003E">
      <w:pPr>
        <w:spacing w:after="0" w:line="240" w:lineRule="auto"/>
        <w:ind w:right="-54"/>
        <w:jc w:val="both"/>
        <w:rPr>
          <w:rFonts w:ascii="Arial" w:eastAsia="Times New Roman" w:hAnsi="Arial" w:cs="Arial"/>
          <w:sz w:val="23"/>
          <w:szCs w:val="23"/>
          <w:lang w:eastAsia="pt-BR"/>
        </w:rPr>
      </w:pPr>
    </w:p>
    <w:p w14:paraId="7E450375" w14:textId="77777777" w:rsidR="00C96FA1" w:rsidRDefault="00C96FA1" w:rsidP="00FF003E">
      <w:pPr>
        <w:spacing w:after="0" w:line="240" w:lineRule="auto"/>
        <w:ind w:right="-54"/>
        <w:jc w:val="both"/>
        <w:rPr>
          <w:rFonts w:ascii="Arial" w:eastAsia="Times New Roman" w:hAnsi="Arial" w:cs="Arial"/>
          <w:sz w:val="23"/>
          <w:szCs w:val="23"/>
          <w:lang w:eastAsia="pt-BR"/>
        </w:rPr>
      </w:pPr>
    </w:p>
    <w:p w14:paraId="38A2899A" w14:textId="77777777" w:rsidR="00C96FA1" w:rsidRDefault="00C96FA1" w:rsidP="00FF003E">
      <w:pPr>
        <w:spacing w:after="0" w:line="240" w:lineRule="auto"/>
        <w:ind w:right="-54"/>
        <w:jc w:val="both"/>
        <w:rPr>
          <w:rFonts w:ascii="Arial" w:eastAsia="Times New Roman" w:hAnsi="Arial" w:cs="Arial"/>
          <w:sz w:val="23"/>
          <w:szCs w:val="23"/>
          <w:lang w:eastAsia="pt-BR"/>
        </w:rPr>
      </w:pPr>
    </w:p>
    <w:p w14:paraId="4E85BA94" w14:textId="77777777" w:rsidR="00C96FA1" w:rsidRPr="00A00FE1" w:rsidRDefault="00C96FA1" w:rsidP="00FF003E">
      <w:pPr>
        <w:spacing w:after="0" w:line="240" w:lineRule="auto"/>
        <w:ind w:right="-54"/>
        <w:jc w:val="both"/>
        <w:rPr>
          <w:rFonts w:ascii="Arial" w:eastAsia="Times New Roman" w:hAnsi="Arial" w:cs="Arial"/>
          <w:sz w:val="23"/>
          <w:szCs w:val="23"/>
          <w:lang w:eastAsia="pt-BR"/>
        </w:rPr>
      </w:pPr>
    </w:p>
    <w:p w14:paraId="690350CD" w14:textId="2635BA9F" w:rsidR="00FF003E" w:rsidRPr="00A00FE1" w:rsidRDefault="00C96FA1"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lastRenderedPageBreak/>
        <w:t>Itambaracá</w:t>
      </w:r>
      <w:proofErr w:type="spellEnd"/>
      <w:r>
        <w:rPr>
          <w:rFonts w:ascii="Arial" w:eastAsia="Times New Roman" w:hAnsi="Arial" w:cs="Arial"/>
          <w:sz w:val="23"/>
          <w:szCs w:val="23"/>
          <w:lang w:eastAsia="pt-BR"/>
        </w:rPr>
        <w:t>, 21 de Setembro</w:t>
      </w:r>
      <w:r w:rsidR="00FF003E" w:rsidRPr="00A00FE1">
        <w:rPr>
          <w:rFonts w:ascii="Arial" w:eastAsia="Times New Roman" w:hAnsi="Arial" w:cs="Arial"/>
          <w:sz w:val="23"/>
          <w:szCs w:val="23"/>
          <w:lang w:eastAsia="pt-BR"/>
        </w:rPr>
        <w:t xml:space="preserve"> de </w:t>
      </w:r>
      <w:proofErr w:type="gramStart"/>
      <w:r w:rsidR="00FF003E" w:rsidRPr="00A00FE1">
        <w:rPr>
          <w:rFonts w:ascii="Arial" w:eastAsia="Times New Roman" w:hAnsi="Arial" w:cs="Arial"/>
          <w:sz w:val="23"/>
          <w:szCs w:val="23"/>
          <w:lang w:eastAsia="pt-BR"/>
        </w:rPr>
        <w:t>20</w:t>
      </w:r>
      <w:r w:rsidR="00FF003E">
        <w:rPr>
          <w:rFonts w:ascii="Arial" w:eastAsia="Times New Roman" w:hAnsi="Arial" w:cs="Arial"/>
          <w:sz w:val="23"/>
          <w:szCs w:val="23"/>
          <w:lang w:eastAsia="pt-BR"/>
        </w:rPr>
        <w:t>20</w:t>
      </w:r>
      <w:proofErr w:type="gramEnd"/>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3EF2D23D"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Contratante: ____________________  </w:t>
      </w:r>
      <w:r w:rsidR="00C96FA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Contratada:____________________________</w:t>
      </w:r>
    </w:p>
    <w:p w14:paraId="2ECF4E2D" w14:textId="04783B1E"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C96FA1">
        <w:rPr>
          <w:rFonts w:ascii="Times New Roman" w:eastAsia="Times New Roman" w:hAnsi="Times New Roman" w:cs="Times New Roman"/>
          <w:sz w:val="24"/>
          <w:szCs w:val="24"/>
          <w:lang w:eastAsia="pt-BR"/>
        </w:rPr>
        <w:t xml:space="preserve">                 </w:t>
      </w:r>
      <w:r w:rsidR="00A11F2F">
        <w:rPr>
          <w:rFonts w:ascii="Arial" w:eastAsia="Times New Roman" w:hAnsi="Arial" w:cs="Arial"/>
          <w:color w:val="000000"/>
          <w:lang w:eastAsia="pt-BR"/>
        </w:rPr>
        <w:t xml:space="preserve">MARCIO ROBERTO MORAES     </w:t>
      </w:r>
    </w:p>
    <w:p w14:paraId="461DEFAE" w14:textId="376E633B" w:rsidR="00C96FA1" w:rsidRDefault="00A31337" w:rsidP="003702DA">
      <w:pPr>
        <w:spacing w:after="0" w:line="240" w:lineRule="auto"/>
        <w:jc w:val="both"/>
        <w:rPr>
          <w:rFonts w:ascii="Arial" w:eastAsia="Times New Roman" w:hAnsi="Arial" w:cs="Arial"/>
          <w:b/>
          <w:color w:val="000000"/>
          <w:lang w:eastAsia="pt-BR"/>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C96FA1">
        <w:rPr>
          <w:rFonts w:ascii="Times New Roman" w:hAnsi="Times New Roman" w:cs="Times New Roman"/>
          <w:sz w:val="24"/>
          <w:szCs w:val="24"/>
        </w:rPr>
        <w:t xml:space="preserve">                                    </w:t>
      </w:r>
      <w:r w:rsidR="00A11F2F">
        <w:rPr>
          <w:rFonts w:ascii="Arial" w:eastAsia="Times New Roman" w:hAnsi="Arial" w:cs="Arial"/>
          <w:b/>
          <w:color w:val="000000"/>
          <w:lang w:eastAsia="pt-BR"/>
        </w:rPr>
        <w:t xml:space="preserve">DISTRIBUIDORA DE MEDICAMENTOS </w:t>
      </w:r>
    </w:p>
    <w:p w14:paraId="1286897A" w14:textId="20E1A919" w:rsidR="003702DA" w:rsidRDefault="00C96FA1" w:rsidP="00C96FA1">
      <w:pPr>
        <w:spacing w:after="0" w:line="240" w:lineRule="auto"/>
        <w:ind w:left="7080"/>
        <w:jc w:val="both"/>
        <w:rPr>
          <w:rFonts w:ascii="Arial" w:eastAsia="Times New Roman" w:hAnsi="Arial" w:cs="Arial"/>
          <w:color w:val="000000"/>
          <w:lang w:eastAsia="pt-BR"/>
        </w:rPr>
      </w:pPr>
      <w:r>
        <w:rPr>
          <w:rFonts w:ascii="Arial" w:eastAsia="Times New Roman" w:hAnsi="Arial" w:cs="Arial"/>
          <w:b/>
          <w:color w:val="000000"/>
          <w:lang w:eastAsia="pt-BR"/>
        </w:rPr>
        <w:t xml:space="preserve">     </w:t>
      </w:r>
      <w:r w:rsidR="00A11F2F">
        <w:rPr>
          <w:rFonts w:ascii="Arial" w:eastAsia="Times New Roman" w:hAnsi="Arial" w:cs="Arial"/>
          <w:b/>
          <w:color w:val="000000"/>
          <w:lang w:eastAsia="pt-BR"/>
        </w:rPr>
        <w:t>BOEING LTDA</w:t>
      </w:r>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bookmarkStart w:id="0" w:name="_GoBack"/>
      <w:bookmarkEnd w:id="0"/>
    </w:p>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2EB0949E" w:rsidR="00FF003E" w:rsidRPr="00453D59"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C96FA1">
      <w:rPr>
        <w:rFonts w:ascii="Times New Roman" w:eastAsia="Times New Roman" w:hAnsi="Times New Roman" w:cs="Times New Roman"/>
        <w:noProof/>
        <w:sz w:val="24"/>
        <w:szCs w:val="24"/>
        <w:lang w:eastAsia="pt-BR"/>
      </w:rPr>
      <w:t>14</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C96FA1">
      <w:rPr>
        <w:rFonts w:ascii="Times New Roman" w:eastAsia="Times New Roman" w:hAnsi="Times New Roman" w:cs="Times New Roman"/>
        <w:sz w:val="24"/>
        <w:szCs w:val="24"/>
        <w:lang w:eastAsia="pt-BR"/>
      </w:rPr>
      <w:t>5</w:t>
    </w: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C96FA1"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06850"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152A89"/>
    <w:rsid w:val="002A5B01"/>
    <w:rsid w:val="003702DA"/>
    <w:rsid w:val="00473A81"/>
    <w:rsid w:val="0054399F"/>
    <w:rsid w:val="00684633"/>
    <w:rsid w:val="00797AB0"/>
    <w:rsid w:val="007B23AA"/>
    <w:rsid w:val="009B5196"/>
    <w:rsid w:val="009C2E29"/>
    <w:rsid w:val="00A11F2F"/>
    <w:rsid w:val="00A31337"/>
    <w:rsid w:val="00B85DF6"/>
    <w:rsid w:val="00C96FA1"/>
    <w:rsid w:val="00D96773"/>
    <w:rsid w:val="00DA4818"/>
    <w:rsid w:val="00DF31AD"/>
    <w:rsid w:val="00E157CD"/>
    <w:rsid w:val="00E34276"/>
    <w:rsid w:val="00F12809"/>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066">
      <w:bodyDiv w:val="1"/>
      <w:marLeft w:val="0"/>
      <w:marRight w:val="0"/>
      <w:marTop w:val="0"/>
      <w:marBottom w:val="0"/>
      <w:divBdr>
        <w:top w:val="none" w:sz="0" w:space="0" w:color="auto"/>
        <w:left w:val="none" w:sz="0" w:space="0" w:color="auto"/>
        <w:bottom w:val="none" w:sz="0" w:space="0" w:color="auto"/>
        <w:right w:val="none" w:sz="0" w:space="0" w:color="auto"/>
      </w:divBdr>
    </w:div>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181044068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6443</Words>
  <Characters>34796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2020-09-17T14:22:00Z</dcterms:created>
  <dcterms:modified xsi:type="dcterms:W3CDTF">2020-09-21T18:21:00Z</dcterms:modified>
</cp:coreProperties>
</file>