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CONTRATO Nº 018/2015-PMI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CONTRATADA: </w:t>
      </w:r>
      <w:r w:rsidR="00F77799" w:rsidRPr="004B11B2">
        <w:rPr>
          <w:rFonts w:ascii="Times New Roman" w:hAnsi="Times New Roman" w:cs="Times New Roman"/>
          <w:sz w:val="24"/>
          <w:szCs w:val="24"/>
        </w:rPr>
        <w:t>Renato Martins</w:t>
      </w:r>
    </w:p>
    <w:p w:rsidR="00F21F9E" w:rsidRPr="004B11B2" w:rsidRDefault="00F21F9E" w:rsidP="00F21F9E">
      <w:pPr>
        <w:autoSpaceDE w:val="0"/>
        <w:autoSpaceDN w:val="0"/>
        <w:adjustRightInd w:val="0"/>
        <w:jc w:val="both"/>
        <w:rPr>
          <w:rFonts w:ascii="Times New Roman" w:hAnsi="Times New Roman" w:cs="Times New Roman"/>
          <w:sz w:val="24"/>
          <w:szCs w:val="24"/>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 </w:t>
      </w:r>
      <w:r w:rsidR="00F77799" w:rsidRPr="004B11B2">
        <w:rPr>
          <w:rFonts w:ascii="Times New Roman" w:hAnsi="Times New Roman" w:cs="Times New Roman"/>
          <w:sz w:val="24"/>
          <w:szCs w:val="24"/>
        </w:rPr>
        <w:t>Renato Martins</w:t>
      </w:r>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 Renato Martins, localizada no Sitio São Benedito, na cidade de </w:t>
      </w:r>
      <w:proofErr w:type="spellStart"/>
      <w:r w:rsidRPr="004B11B2">
        <w:rPr>
          <w:rFonts w:ascii="Times New Roman" w:hAnsi="Times New Roman" w:cs="Times New Roman"/>
        </w:rPr>
        <w:t>Itambaracá-Pr</w:t>
      </w:r>
      <w:proofErr w:type="spellEnd"/>
      <w:r w:rsidRPr="004B11B2">
        <w:rPr>
          <w:rFonts w:ascii="Times New Roman" w:hAnsi="Times New Roman" w:cs="Times New Roman"/>
        </w:rPr>
        <w:t xml:space="preserve">, CEP: 86.375-000, a seguir denominada </w:t>
      </w:r>
      <w:r w:rsidRPr="004B11B2">
        <w:rPr>
          <w:rFonts w:ascii="Times New Roman" w:hAnsi="Times New Roman" w:cs="Times New Roman"/>
          <w:b/>
        </w:rPr>
        <w:t>CONTRATADA</w:t>
      </w:r>
      <w:r w:rsidRPr="004B11B2">
        <w:rPr>
          <w:rFonts w:ascii="Times New Roman" w:hAnsi="Times New Roman" w:cs="Times New Roman"/>
        </w:rPr>
        <w:t>, representada por Renato Martins, portador da cédula de identidade R.G. n° 68310881</w:t>
      </w:r>
      <w:r w:rsidR="00F77799" w:rsidRPr="004B11B2">
        <w:rPr>
          <w:rFonts w:ascii="Times New Roman" w:hAnsi="Times New Roman" w:cs="Times New Roman"/>
        </w:rPr>
        <w:t>,</w:t>
      </w:r>
      <w:r w:rsidRPr="004B11B2">
        <w:rPr>
          <w:rFonts w:ascii="Times New Roman" w:hAnsi="Times New Roman" w:cs="Times New Roman"/>
        </w:rPr>
        <w:t xml:space="preserve"> CPF n° </w:t>
      </w:r>
      <w:r w:rsidR="00F77799" w:rsidRPr="004B11B2">
        <w:rPr>
          <w:rFonts w:ascii="Times New Roman" w:hAnsi="Times New Roman" w:cs="Times New Roman"/>
        </w:rPr>
        <w:t>042.185.609-27</w:t>
      </w:r>
      <w:r w:rsidRPr="004B11B2">
        <w:rPr>
          <w:rFonts w:ascii="Times New Roman" w:hAnsi="Times New Roman" w:cs="Times New Roman"/>
        </w:rPr>
        <w:t xml:space="preserve">, residente na </w:t>
      </w:r>
      <w:r w:rsidR="00F77799" w:rsidRPr="004B11B2">
        <w:rPr>
          <w:rFonts w:ascii="Times New Roman" w:hAnsi="Times New Roman" w:cs="Times New Roman"/>
        </w:rPr>
        <w:t>Rua : José de Souza Porto, nº 59</w:t>
      </w:r>
      <w:r w:rsidRPr="004B11B2">
        <w:rPr>
          <w:rFonts w:ascii="Times New Roman" w:hAnsi="Times New Roman" w:cs="Times New Roman"/>
        </w:rPr>
        <w:t>,</w:t>
      </w:r>
      <w:r w:rsidR="00F77799" w:rsidRPr="004B11B2">
        <w:rPr>
          <w:rFonts w:ascii="Times New Roman" w:hAnsi="Times New Roman" w:cs="Times New Roman"/>
        </w:rPr>
        <w:t xml:space="preserve"> na cidade de </w:t>
      </w:r>
      <w:proofErr w:type="spellStart"/>
      <w:r w:rsidR="00F77799" w:rsidRPr="004B11B2">
        <w:rPr>
          <w:rFonts w:ascii="Times New Roman" w:hAnsi="Times New Roman" w:cs="Times New Roman"/>
        </w:rPr>
        <w:t>Itambaracá</w:t>
      </w:r>
      <w:proofErr w:type="spellEnd"/>
      <w:r w:rsidR="00F77799" w:rsidRPr="004B11B2">
        <w:rPr>
          <w:rFonts w:ascii="Times New Roman" w:hAnsi="Times New Roman" w:cs="Times New Roman"/>
        </w:rPr>
        <w:t>-Estado do Paraná,</w:t>
      </w:r>
      <w:r w:rsidRPr="004B11B2">
        <w:rPr>
          <w:rFonts w:ascii="Times New Roman" w:hAnsi="Times New Roman" w:cs="Times New Roman"/>
        </w:rPr>
        <w:t xml:space="preserve"> CEP: </w:t>
      </w:r>
      <w:r w:rsidR="00F77799" w:rsidRPr="004B11B2">
        <w:rPr>
          <w:rFonts w:ascii="Times New Roman" w:hAnsi="Times New Roman" w:cs="Times New Roman"/>
        </w:rPr>
        <w:t>86.375-000</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b/>
          <w:sz w:val="24"/>
          <w:szCs w:val="24"/>
        </w:rPr>
        <w:t>2.1</w:t>
      </w:r>
      <w:r w:rsidRPr="004B11B2">
        <w:rPr>
          <w:rFonts w:ascii="Times New Roman" w:hAnsi="Times New Roman" w:cs="Times New Roman"/>
          <w:sz w:val="24"/>
          <w:szCs w:val="24"/>
        </w:rPr>
        <w:t>.</w:t>
      </w:r>
      <w:proofErr w:type="gramEnd"/>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b</w:t>
      </w:r>
      <w:proofErr w:type="gramEnd"/>
      <w:r w:rsidRPr="004B11B2">
        <w:rPr>
          <w:rFonts w:ascii="Times New Roman" w:hAnsi="Times New Roman" w:cs="Times New Roman"/>
          <w:sz w:val="24"/>
          <w:szCs w:val="24"/>
        </w:rPr>
        <w:t>-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w:t>
      </w: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4B11B2">
        <w:rPr>
          <w:rFonts w:ascii="Times New Roman" w:hAnsi="Times New Roman" w:cs="Times New Roman"/>
          <w:sz w:val="24"/>
          <w:szCs w:val="24"/>
        </w:rPr>
        <w:t>sob pena</w:t>
      </w:r>
      <w:proofErr w:type="gramEnd"/>
      <w:r w:rsidRPr="004B11B2">
        <w:rPr>
          <w:rFonts w:ascii="Times New Roman" w:hAnsi="Times New Roman" w:cs="Times New Roman"/>
          <w:sz w:val="24"/>
          <w:szCs w:val="24"/>
        </w:rPr>
        <w:t xml:space="preserve">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4B11B2" w:rsidRPr="004B11B2">
        <w:rPr>
          <w:rFonts w:ascii="Times New Roman" w:hAnsi="Times New Roman" w:cs="Times New Roman"/>
          <w:sz w:val="24"/>
          <w:szCs w:val="24"/>
        </w:rPr>
        <w:t>3.770,00(três mil setecentos e setenta reais</w:t>
      </w:r>
      <w:r w:rsidRPr="004B11B2">
        <w:rPr>
          <w:rFonts w:ascii="Times New Roman" w:hAnsi="Times New Roman" w:cs="Times New Roman"/>
          <w:sz w:val="24"/>
          <w:szCs w:val="24"/>
        </w:rPr>
        <w:t>), conforme listagem anexa a seguir:</w:t>
      </w:r>
    </w:p>
    <w:tbl>
      <w:tblPr>
        <w:tblW w:w="10906" w:type="dxa"/>
        <w:tblInd w:w="70" w:type="dxa"/>
        <w:tblLayout w:type="fixed"/>
        <w:tblCellMar>
          <w:left w:w="70" w:type="dxa"/>
          <w:right w:w="70" w:type="dxa"/>
        </w:tblCellMar>
        <w:tblLook w:val="04A0" w:firstRow="1" w:lastRow="0" w:firstColumn="1" w:lastColumn="0" w:noHBand="0" w:noVBand="1"/>
      </w:tblPr>
      <w:tblGrid>
        <w:gridCol w:w="1419"/>
        <w:gridCol w:w="1275"/>
        <w:gridCol w:w="1416"/>
        <w:gridCol w:w="993"/>
        <w:gridCol w:w="1279"/>
        <w:gridCol w:w="1008"/>
        <w:gridCol w:w="1351"/>
        <w:gridCol w:w="1168"/>
        <w:gridCol w:w="997"/>
      </w:tblGrid>
      <w:tr w:rsidR="00ED08F7" w:rsidRPr="004B11B2" w:rsidTr="004B11B2">
        <w:trPr>
          <w:trHeight w:val="870"/>
        </w:trPr>
        <w:tc>
          <w:tcPr>
            <w:tcW w:w="1419" w:type="dxa"/>
            <w:tcBorders>
              <w:top w:val="single" w:sz="4" w:space="0" w:color="auto"/>
              <w:left w:val="single" w:sz="4" w:space="0" w:color="auto"/>
              <w:bottom w:val="single" w:sz="4" w:space="0" w:color="auto"/>
              <w:right w:val="single" w:sz="4" w:space="0" w:color="auto"/>
            </w:tcBorders>
            <w:shd w:val="clear" w:color="000000" w:fill="A6A6A6"/>
            <w:noWrap/>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r w:rsidRPr="00ED08F7">
              <w:rPr>
                <w:rFonts w:ascii="Times New Roman" w:eastAsia="Times New Roman" w:hAnsi="Times New Roman" w:cs="Times New Roman"/>
                <w:b/>
                <w:bCs/>
                <w:color w:val="000000"/>
                <w:sz w:val="24"/>
                <w:szCs w:val="24"/>
              </w:rPr>
              <w:t>1. Nome do Agricultor Familiar</w:t>
            </w:r>
          </w:p>
        </w:tc>
        <w:tc>
          <w:tcPr>
            <w:tcW w:w="1275" w:type="dxa"/>
            <w:tcBorders>
              <w:top w:val="single" w:sz="4" w:space="0" w:color="auto"/>
              <w:left w:val="nil"/>
              <w:bottom w:val="single" w:sz="4" w:space="0" w:color="auto"/>
              <w:right w:val="single" w:sz="4" w:space="0" w:color="auto"/>
            </w:tcBorders>
            <w:shd w:val="clear" w:color="000000" w:fill="A6A6A6"/>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r w:rsidRPr="00ED08F7">
              <w:rPr>
                <w:rFonts w:ascii="Times New Roman" w:eastAsia="Times New Roman" w:hAnsi="Times New Roman" w:cs="Times New Roman"/>
                <w:b/>
                <w:bCs/>
                <w:color w:val="000000"/>
                <w:sz w:val="24"/>
                <w:szCs w:val="24"/>
              </w:rPr>
              <w:t>2. CPF</w:t>
            </w:r>
          </w:p>
        </w:tc>
        <w:tc>
          <w:tcPr>
            <w:tcW w:w="1416" w:type="dxa"/>
            <w:tcBorders>
              <w:top w:val="single" w:sz="4" w:space="0" w:color="auto"/>
              <w:left w:val="nil"/>
              <w:bottom w:val="single" w:sz="4" w:space="0" w:color="auto"/>
              <w:right w:val="single" w:sz="4" w:space="0" w:color="auto"/>
            </w:tcBorders>
            <w:shd w:val="clear" w:color="000000" w:fill="A6A6A6"/>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r w:rsidRPr="00ED08F7">
              <w:rPr>
                <w:rFonts w:ascii="Times New Roman" w:eastAsia="Times New Roman" w:hAnsi="Times New Roman" w:cs="Times New Roman"/>
                <w:b/>
                <w:bCs/>
                <w:color w:val="000000"/>
                <w:sz w:val="24"/>
                <w:szCs w:val="24"/>
              </w:rPr>
              <w:t>3. DAP</w:t>
            </w:r>
          </w:p>
        </w:tc>
        <w:tc>
          <w:tcPr>
            <w:tcW w:w="993" w:type="dxa"/>
            <w:tcBorders>
              <w:top w:val="nil"/>
              <w:left w:val="nil"/>
              <w:bottom w:val="single" w:sz="4" w:space="0" w:color="auto"/>
              <w:right w:val="single" w:sz="4" w:space="0" w:color="auto"/>
            </w:tcBorders>
            <w:shd w:val="clear" w:color="000000" w:fill="A6A6A6"/>
            <w:hideMark/>
          </w:tcPr>
          <w:p w:rsidR="00ED08F7" w:rsidRPr="00ED08F7" w:rsidRDefault="00ED08F7" w:rsidP="00ED08F7">
            <w:pPr>
              <w:spacing w:after="0" w:line="240" w:lineRule="auto"/>
              <w:jc w:val="center"/>
              <w:rPr>
                <w:rFonts w:ascii="Times New Roman" w:eastAsia="Times New Roman" w:hAnsi="Times New Roman" w:cs="Times New Roman"/>
                <w:b/>
                <w:bCs/>
                <w:color w:val="000000"/>
                <w:sz w:val="24"/>
                <w:szCs w:val="24"/>
              </w:rPr>
            </w:pPr>
            <w:r w:rsidRPr="00ED08F7">
              <w:rPr>
                <w:rFonts w:ascii="Times New Roman" w:eastAsia="Times New Roman" w:hAnsi="Times New Roman" w:cs="Times New Roman"/>
                <w:b/>
                <w:bCs/>
                <w:color w:val="000000"/>
                <w:sz w:val="24"/>
                <w:szCs w:val="24"/>
              </w:rPr>
              <w:t>ITEM</w:t>
            </w:r>
          </w:p>
        </w:tc>
        <w:tc>
          <w:tcPr>
            <w:tcW w:w="1279" w:type="dxa"/>
            <w:tcBorders>
              <w:top w:val="single" w:sz="4" w:space="0" w:color="auto"/>
              <w:left w:val="nil"/>
              <w:bottom w:val="single" w:sz="4" w:space="0" w:color="auto"/>
              <w:right w:val="single" w:sz="4" w:space="0" w:color="auto"/>
            </w:tcBorders>
            <w:shd w:val="clear" w:color="000000" w:fill="A6A6A6"/>
            <w:noWrap/>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r w:rsidRPr="00ED08F7">
              <w:rPr>
                <w:rFonts w:ascii="Times New Roman" w:eastAsia="Times New Roman" w:hAnsi="Times New Roman" w:cs="Times New Roman"/>
                <w:b/>
                <w:bCs/>
                <w:color w:val="000000"/>
                <w:sz w:val="24"/>
                <w:szCs w:val="24"/>
              </w:rPr>
              <w:t>4. Produto</w:t>
            </w:r>
          </w:p>
        </w:tc>
        <w:tc>
          <w:tcPr>
            <w:tcW w:w="1008" w:type="dxa"/>
            <w:tcBorders>
              <w:top w:val="single" w:sz="4" w:space="0" w:color="auto"/>
              <w:left w:val="nil"/>
              <w:bottom w:val="single" w:sz="4" w:space="0" w:color="auto"/>
              <w:right w:val="single" w:sz="4" w:space="0" w:color="auto"/>
            </w:tcBorders>
            <w:shd w:val="clear" w:color="000000" w:fill="A6A6A6"/>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r w:rsidRPr="00ED08F7">
              <w:rPr>
                <w:rFonts w:ascii="Times New Roman" w:eastAsia="Times New Roman" w:hAnsi="Times New Roman" w:cs="Times New Roman"/>
                <w:b/>
                <w:bCs/>
                <w:color w:val="000000"/>
                <w:sz w:val="24"/>
                <w:szCs w:val="24"/>
              </w:rPr>
              <w:t>5. Unidade</w:t>
            </w:r>
          </w:p>
        </w:tc>
        <w:tc>
          <w:tcPr>
            <w:tcW w:w="1351" w:type="dxa"/>
            <w:tcBorders>
              <w:top w:val="single" w:sz="4" w:space="0" w:color="auto"/>
              <w:left w:val="nil"/>
              <w:bottom w:val="single" w:sz="4" w:space="0" w:color="auto"/>
              <w:right w:val="single" w:sz="4" w:space="0" w:color="auto"/>
            </w:tcBorders>
            <w:shd w:val="clear" w:color="000000" w:fill="A6A6A6"/>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r w:rsidRPr="00ED08F7">
              <w:rPr>
                <w:rFonts w:ascii="Times New Roman" w:eastAsia="Times New Roman" w:hAnsi="Times New Roman" w:cs="Times New Roman"/>
                <w:b/>
                <w:bCs/>
                <w:color w:val="000000"/>
                <w:sz w:val="24"/>
                <w:szCs w:val="24"/>
              </w:rPr>
              <w:t>6. Quantidade</w:t>
            </w:r>
          </w:p>
        </w:tc>
        <w:tc>
          <w:tcPr>
            <w:tcW w:w="1168" w:type="dxa"/>
            <w:tcBorders>
              <w:top w:val="single" w:sz="4" w:space="0" w:color="auto"/>
              <w:left w:val="nil"/>
              <w:bottom w:val="single" w:sz="4" w:space="0" w:color="auto"/>
              <w:right w:val="single" w:sz="4" w:space="0" w:color="auto"/>
            </w:tcBorders>
            <w:shd w:val="clear" w:color="000000" w:fill="A6A6A6"/>
            <w:noWrap/>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proofErr w:type="spellStart"/>
            <w:r w:rsidRPr="00ED08F7">
              <w:rPr>
                <w:rFonts w:ascii="Times New Roman" w:eastAsia="Times New Roman" w:hAnsi="Times New Roman" w:cs="Times New Roman"/>
                <w:b/>
                <w:bCs/>
                <w:color w:val="000000"/>
                <w:sz w:val="24"/>
                <w:szCs w:val="24"/>
              </w:rPr>
              <w:t>Pço</w:t>
            </w:r>
            <w:proofErr w:type="spellEnd"/>
            <w:r w:rsidRPr="00ED08F7">
              <w:rPr>
                <w:rFonts w:ascii="Times New Roman" w:eastAsia="Times New Roman" w:hAnsi="Times New Roman" w:cs="Times New Roman"/>
                <w:b/>
                <w:bCs/>
                <w:color w:val="000000"/>
                <w:sz w:val="24"/>
                <w:szCs w:val="24"/>
              </w:rPr>
              <w:t xml:space="preserve"> Unit.</w:t>
            </w:r>
          </w:p>
        </w:tc>
        <w:tc>
          <w:tcPr>
            <w:tcW w:w="997" w:type="dxa"/>
            <w:tcBorders>
              <w:top w:val="single" w:sz="4" w:space="0" w:color="auto"/>
              <w:left w:val="nil"/>
              <w:bottom w:val="single" w:sz="4" w:space="0" w:color="auto"/>
              <w:right w:val="single" w:sz="4" w:space="0" w:color="auto"/>
            </w:tcBorders>
            <w:shd w:val="clear" w:color="000000" w:fill="A6A6A6"/>
            <w:hideMark/>
          </w:tcPr>
          <w:p w:rsidR="00ED08F7" w:rsidRPr="00ED08F7" w:rsidRDefault="00ED08F7" w:rsidP="00ED08F7">
            <w:pPr>
              <w:spacing w:after="0" w:line="240" w:lineRule="auto"/>
              <w:jc w:val="both"/>
              <w:rPr>
                <w:rFonts w:ascii="Times New Roman" w:eastAsia="Times New Roman" w:hAnsi="Times New Roman" w:cs="Times New Roman"/>
                <w:b/>
                <w:bCs/>
                <w:color w:val="000000"/>
                <w:sz w:val="24"/>
                <w:szCs w:val="24"/>
              </w:rPr>
            </w:pPr>
            <w:proofErr w:type="spellStart"/>
            <w:r w:rsidRPr="00ED08F7">
              <w:rPr>
                <w:rFonts w:ascii="Times New Roman" w:eastAsia="Times New Roman" w:hAnsi="Times New Roman" w:cs="Times New Roman"/>
                <w:b/>
                <w:bCs/>
                <w:color w:val="000000"/>
                <w:sz w:val="24"/>
                <w:szCs w:val="24"/>
              </w:rPr>
              <w:t>Pço</w:t>
            </w:r>
            <w:proofErr w:type="spellEnd"/>
            <w:r w:rsidRPr="00ED08F7">
              <w:rPr>
                <w:rFonts w:ascii="Times New Roman" w:eastAsia="Times New Roman" w:hAnsi="Times New Roman" w:cs="Times New Roman"/>
                <w:b/>
                <w:bCs/>
                <w:color w:val="000000"/>
                <w:sz w:val="24"/>
                <w:szCs w:val="24"/>
              </w:rPr>
              <w:t xml:space="preserve"> Total</w:t>
            </w:r>
          </w:p>
        </w:tc>
      </w:tr>
      <w:tr w:rsidR="00ED08F7" w:rsidRPr="004B11B2" w:rsidTr="004B11B2">
        <w:trPr>
          <w:trHeight w:val="6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ED08F7" w:rsidRPr="00ED08F7" w:rsidRDefault="00ED08F7" w:rsidP="00ED08F7">
            <w:pPr>
              <w:spacing w:after="0" w:line="240" w:lineRule="auto"/>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Renato Martins</w:t>
            </w:r>
          </w:p>
        </w:tc>
        <w:tc>
          <w:tcPr>
            <w:tcW w:w="1275" w:type="dxa"/>
            <w:tcBorders>
              <w:top w:val="nil"/>
              <w:left w:val="nil"/>
              <w:bottom w:val="single" w:sz="4" w:space="0" w:color="auto"/>
              <w:right w:val="single" w:sz="4" w:space="0" w:color="auto"/>
            </w:tcBorders>
            <w:shd w:val="clear" w:color="auto" w:fill="auto"/>
            <w:noWrap/>
            <w:vAlign w:val="bottom"/>
            <w:hideMark/>
          </w:tcPr>
          <w:p w:rsidR="00ED08F7" w:rsidRPr="00ED08F7" w:rsidRDefault="00ED08F7" w:rsidP="00ED08F7">
            <w:pPr>
              <w:spacing w:after="0" w:line="240" w:lineRule="auto"/>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042.185.609-27</w:t>
            </w:r>
          </w:p>
        </w:tc>
        <w:tc>
          <w:tcPr>
            <w:tcW w:w="1416" w:type="dxa"/>
            <w:tcBorders>
              <w:top w:val="nil"/>
              <w:left w:val="nil"/>
              <w:bottom w:val="single" w:sz="4" w:space="0" w:color="auto"/>
              <w:right w:val="single" w:sz="4" w:space="0" w:color="auto"/>
            </w:tcBorders>
            <w:shd w:val="clear" w:color="auto" w:fill="auto"/>
            <w:vAlign w:val="bottom"/>
            <w:hideMark/>
          </w:tcPr>
          <w:p w:rsidR="00ED08F7" w:rsidRPr="00ED08F7" w:rsidRDefault="00ED08F7" w:rsidP="00ED08F7">
            <w:pPr>
              <w:spacing w:after="0" w:line="240" w:lineRule="auto"/>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SDW0042185609270511141105</w:t>
            </w:r>
          </w:p>
        </w:tc>
        <w:tc>
          <w:tcPr>
            <w:tcW w:w="993" w:type="dxa"/>
            <w:tcBorders>
              <w:top w:val="nil"/>
              <w:left w:val="nil"/>
              <w:bottom w:val="single" w:sz="4" w:space="0" w:color="auto"/>
              <w:right w:val="single" w:sz="4" w:space="0" w:color="auto"/>
            </w:tcBorders>
            <w:shd w:val="clear" w:color="auto" w:fill="auto"/>
            <w:vAlign w:val="center"/>
            <w:hideMark/>
          </w:tcPr>
          <w:p w:rsidR="00ED08F7" w:rsidRPr="00ED08F7" w:rsidRDefault="00ED08F7" w:rsidP="00ED08F7">
            <w:pPr>
              <w:spacing w:after="0" w:line="240" w:lineRule="auto"/>
              <w:jc w:val="center"/>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15</w:t>
            </w:r>
          </w:p>
        </w:tc>
        <w:tc>
          <w:tcPr>
            <w:tcW w:w="1279" w:type="dxa"/>
            <w:tcBorders>
              <w:top w:val="nil"/>
              <w:left w:val="nil"/>
              <w:bottom w:val="single" w:sz="4" w:space="0" w:color="auto"/>
              <w:right w:val="single" w:sz="4" w:space="0" w:color="auto"/>
            </w:tcBorders>
            <w:shd w:val="clear" w:color="auto" w:fill="auto"/>
            <w:vAlign w:val="center"/>
            <w:hideMark/>
          </w:tcPr>
          <w:p w:rsidR="00ED08F7" w:rsidRPr="00ED08F7" w:rsidRDefault="00ED08F7" w:rsidP="00ED08F7">
            <w:pPr>
              <w:spacing w:after="0" w:line="240" w:lineRule="auto"/>
              <w:jc w:val="center"/>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Milho verde (sem palha)</w:t>
            </w:r>
          </w:p>
        </w:tc>
        <w:tc>
          <w:tcPr>
            <w:tcW w:w="1008" w:type="dxa"/>
            <w:tcBorders>
              <w:top w:val="nil"/>
              <w:left w:val="nil"/>
              <w:bottom w:val="single" w:sz="4" w:space="0" w:color="auto"/>
              <w:right w:val="single" w:sz="4" w:space="0" w:color="auto"/>
            </w:tcBorders>
            <w:shd w:val="clear" w:color="auto" w:fill="auto"/>
            <w:vAlign w:val="center"/>
            <w:hideMark/>
          </w:tcPr>
          <w:p w:rsidR="00ED08F7" w:rsidRPr="00ED08F7" w:rsidRDefault="00ED08F7" w:rsidP="00ED08F7">
            <w:pPr>
              <w:spacing w:after="0" w:line="240" w:lineRule="auto"/>
              <w:jc w:val="center"/>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Kg</w:t>
            </w:r>
          </w:p>
        </w:tc>
        <w:tc>
          <w:tcPr>
            <w:tcW w:w="1351" w:type="dxa"/>
            <w:tcBorders>
              <w:top w:val="nil"/>
              <w:left w:val="nil"/>
              <w:bottom w:val="single" w:sz="4" w:space="0" w:color="auto"/>
              <w:right w:val="single" w:sz="4" w:space="0" w:color="auto"/>
            </w:tcBorders>
            <w:shd w:val="clear" w:color="auto" w:fill="auto"/>
            <w:vAlign w:val="center"/>
            <w:hideMark/>
          </w:tcPr>
          <w:p w:rsidR="00ED08F7" w:rsidRPr="00ED08F7" w:rsidRDefault="00ED08F7" w:rsidP="00ED08F7">
            <w:pPr>
              <w:spacing w:after="0" w:line="240" w:lineRule="auto"/>
              <w:jc w:val="center"/>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1300</w:t>
            </w:r>
          </w:p>
        </w:tc>
        <w:tc>
          <w:tcPr>
            <w:tcW w:w="1168" w:type="dxa"/>
            <w:tcBorders>
              <w:top w:val="nil"/>
              <w:left w:val="nil"/>
              <w:bottom w:val="single" w:sz="4" w:space="0" w:color="auto"/>
              <w:right w:val="single" w:sz="4" w:space="0" w:color="auto"/>
            </w:tcBorders>
            <w:shd w:val="clear" w:color="auto" w:fill="auto"/>
            <w:vAlign w:val="center"/>
            <w:hideMark/>
          </w:tcPr>
          <w:p w:rsidR="00ED08F7" w:rsidRPr="00ED08F7" w:rsidRDefault="00ED08F7" w:rsidP="00ED08F7">
            <w:pPr>
              <w:spacing w:after="0" w:line="240" w:lineRule="auto"/>
              <w:jc w:val="center"/>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xml:space="preserve"> R$        2,90 </w:t>
            </w:r>
          </w:p>
        </w:tc>
        <w:tc>
          <w:tcPr>
            <w:tcW w:w="997" w:type="dxa"/>
            <w:tcBorders>
              <w:top w:val="nil"/>
              <w:left w:val="nil"/>
              <w:bottom w:val="single" w:sz="4" w:space="0" w:color="auto"/>
              <w:right w:val="single" w:sz="4" w:space="0" w:color="auto"/>
            </w:tcBorders>
            <w:shd w:val="clear" w:color="auto" w:fill="auto"/>
            <w:vAlign w:val="center"/>
            <w:hideMark/>
          </w:tcPr>
          <w:p w:rsidR="00ED08F7" w:rsidRPr="00ED08F7" w:rsidRDefault="00ED08F7" w:rsidP="00ED08F7">
            <w:pPr>
              <w:spacing w:after="0" w:line="240" w:lineRule="auto"/>
              <w:jc w:val="center"/>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xml:space="preserve"> R$</w:t>
            </w:r>
            <w:proofErr w:type="gramStart"/>
            <w:r w:rsidRPr="00ED08F7">
              <w:rPr>
                <w:rFonts w:ascii="Times New Roman" w:eastAsia="Times New Roman" w:hAnsi="Times New Roman" w:cs="Times New Roman"/>
                <w:color w:val="000000"/>
                <w:sz w:val="24"/>
                <w:szCs w:val="24"/>
              </w:rPr>
              <w:t xml:space="preserve">   </w:t>
            </w:r>
            <w:proofErr w:type="gramEnd"/>
            <w:r w:rsidRPr="00ED08F7">
              <w:rPr>
                <w:rFonts w:ascii="Times New Roman" w:eastAsia="Times New Roman" w:hAnsi="Times New Roman" w:cs="Times New Roman"/>
                <w:color w:val="000000"/>
                <w:sz w:val="24"/>
                <w:szCs w:val="24"/>
              </w:rPr>
              <w:t xml:space="preserve">3.770,00 </w:t>
            </w:r>
          </w:p>
        </w:tc>
      </w:tr>
      <w:tr w:rsidR="00ED08F7" w:rsidRPr="004B11B2" w:rsidTr="004B11B2">
        <w:trPr>
          <w:trHeight w:val="300"/>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rsidR="00ED08F7" w:rsidRPr="00ED08F7" w:rsidRDefault="00ED08F7" w:rsidP="00ED08F7">
            <w:pPr>
              <w:spacing w:after="0" w:line="240" w:lineRule="auto"/>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ED08F7" w:rsidRPr="00ED08F7" w:rsidRDefault="00ED08F7" w:rsidP="00ED08F7">
            <w:pPr>
              <w:spacing w:after="0" w:line="240" w:lineRule="auto"/>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w:t>
            </w:r>
          </w:p>
        </w:tc>
        <w:tc>
          <w:tcPr>
            <w:tcW w:w="1416" w:type="dxa"/>
            <w:tcBorders>
              <w:top w:val="nil"/>
              <w:left w:val="nil"/>
              <w:bottom w:val="single" w:sz="4" w:space="0" w:color="auto"/>
              <w:right w:val="single" w:sz="4" w:space="0" w:color="auto"/>
            </w:tcBorders>
            <w:shd w:val="clear" w:color="auto" w:fill="auto"/>
            <w:noWrap/>
            <w:vAlign w:val="bottom"/>
            <w:hideMark/>
          </w:tcPr>
          <w:p w:rsidR="00ED08F7" w:rsidRPr="00ED08F7" w:rsidRDefault="00ED08F7" w:rsidP="00ED08F7">
            <w:pPr>
              <w:spacing w:after="0" w:line="240" w:lineRule="auto"/>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w:t>
            </w:r>
          </w:p>
        </w:tc>
        <w:tc>
          <w:tcPr>
            <w:tcW w:w="993" w:type="dxa"/>
            <w:tcBorders>
              <w:top w:val="nil"/>
              <w:left w:val="nil"/>
              <w:bottom w:val="single" w:sz="4" w:space="0" w:color="auto"/>
              <w:right w:val="single" w:sz="4" w:space="0" w:color="auto"/>
            </w:tcBorders>
            <w:shd w:val="clear" w:color="000000" w:fill="A6A6A6"/>
            <w:vAlign w:val="center"/>
            <w:hideMark/>
          </w:tcPr>
          <w:p w:rsidR="00ED08F7" w:rsidRPr="00ED08F7" w:rsidRDefault="00ED08F7" w:rsidP="00ED08F7">
            <w:pPr>
              <w:spacing w:after="0" w:line="240" w:lineRule="auto"/>
              <w:jc w:val="right"/>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TOTAL</w:t>
            </w:r>
          </w:p>
        </w:tc>
        <w:tc>
          <w:tcPr>
            <w:tcW w:w="1279" w:type="dxa"/>
            <w:tcBorders>
              <w:top w:val="nil"/>
              <w:left w:val="nil"/>
              <w:bottom w:val="single" w:sz="4" w:space="0" w:color="auto"/>
              <w:right w:val="single" w:sz="4" w:space="0" w:color="auto"/>
            </w:tcBorders>
            <w:shd w:val="clear" w:color="000000" w:fill="A6A6A6"/>
            <w:vAlign w:val="center"/>
            <w:hideMark/>
          </w:tcPr>
          <w:p w:rsidR="00ED08F7" w:rsidRPr="00ED08F7" w:rsidRDefault="00ED08F7" w:rsidP="00ED08F7">
            <w:pPr>
              <w:spacing w:after="0" w:line="240" w:lineRule="auto"/>
              <w:jc w:val="right"/>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w:t>
            </w:r>
          </w:p>
        </w:tc>
        <w:tc>
          <w:tcPr>
            <w:tcW w:w="1008" w:type="dxa"/>
            <w:tcBorders>
              <w:top w:val="nil"/>
              <w:left w:val="nil"/>
              <w:bottom w:val="single" w:sz="4" w:space="0" w:color="auto"/>
              <w:right w:val="single" w:sz="4" w:space="0" w:color="auto"/>
            </w:tcBorders>
            <w:shd w:val="clear" w:color="000000" w:fill="A6A6A6"/>
            <w:vAlign w:val="center"/>
            <w:hideMark/>
          </w:tcPr>
          <w:p w:rsidR="00ED08F7" w:rsidRPr="00ED08F7" w:rsidRDefault="00ED08F7" w:rsidP="00ED08F7">
            <w:pPr>
              <w:spacing w:after="0" w:line="240" w:lineRule="auto"/>
              <w:jc w:val="right"/>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w:t>
            </w:r>
          </w:p>
        </w:tc>
        <w:tc>
          <w:tcPr>
            <w:tcW w:w="1351" w:type="dxa"/>
            <w:tcBorders>
              <w:top w:val="nil"/>
              <w:left w:val="nil"/>
              <w:bottom w:val="single" w:sz="4" w:space="0" w:color="auto"/>
              <w:right w:val="single" w:sz="4" w:space="0" w:color="auto"/>
            </w:tcBorders>
            <w:shd w:val="clear" w:color="000000" w:fill="A6A6A6"/>
            <w:vAlign w:val="center"/>
            <w:hideMark/>
          </w:tcPr>
          <w:p w:rsidR="00ED08F7" w:rsidRPr="00ED08F7" w:rsidRDefault="00ED08F7" w:rsidP="00ED08F7">
            <w:pPr>
              <w:spacing w:after="0" w:line="240" w:lineRule="auto"/>
              <w:jc w:val="right"/>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w:t>
            </w:r>
          </w:p>
        </w:tc>
        <w:tc>
          <w:tcPr>
            <w:tcW w:w="1168" w:type="dxa"/>
            <w:tcBorders>
              <w:top w:val="nil"/>
              <w:left w:val="nil"/>
              <w:bottom w:val="single" w:sz="4" w:space="0" w:color="auto"/>
              <w:right w:val="single" w:sz="4" w:space="0" w:color="auto"/>
            </w:tcBorders>
            <w:shd w:val="clear" w:color="000000" w:fill="A6A6A6"/>
            <w:vAlign w:val="center"/>
            <w:hideMark/>
          </w:tcPr>
          <w:p w:rsidR="00ED08F7" w:rsidRPr="00ED08F7" w:rsidRDefault="00ED08F7" w:rsidP="00ED08F7">
            <w:pPr>
              <w:spacing w:after="0" w:line="240" w:lineRule="auto"/>
              <w:jc w:val="right"/>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vAlign w:val="center"/>
            <w:hideMark/>
          </w:tcPr>
          <w:p w:rsidR="00ED08F7" w:rsidRPr="00ED08F7" w:rsidRDefault="00ED08F7" w:rsidP="00ED08F7">
            <w:pPr>
              <w:spacing w:after="0" w:line="240" w:lineRule="auto"/>
              <w:jc w:val="center"/>
              <w:rPr>
                <w:rFonts w:ascii="Times New Roman" w:eastAsia="Times New Roman" w:hAnsi="Times New Roman" w:cs="Times New Roman"/>
                <w:color w:val="000000"/>
                <w:sz w:val="24"/>
                <w:szCs w:val="24"/>
              </w:rPr>
            </w:pPr>
            <w:r w:rsidRPr="00ED08F7">
              <w:rPr>
                <w:rFonts w:ascii="Times New Roman" w:eastAsia="Times New Roman" w:hAnsi="Times New Roman" w:cs="Times New Roman"/>
                <w:color w:val="000000"/>
                <w:sz w:val="24"/>
                <w:szCs w:val="24"/>
              </w:rPr>
              <w:t xml:space="preserve"> R$</w:t>
            </w:r>
            <w:proofErr w:type="gramStart"/>
            <w:r w:rsidRPr="00ED08F7">
              <w:rPr>
                <w:rFonts w:ascii="Times New Roman" w:eastAsia="Times New Roman" w:hAnsi="Times New Roman" w:cs="Times New Roman"/>
                <w:color w:val="000000"/>
                <w:sz w:val="24"/>
                <w:szCs w:val="24"/>
              </w:rPr>
              <w:t xml:space="preserve">   </w:t>
            </w:r>
            <w:proofErr w:type="gramEnd"/>
            <w:r w:rsidRPr="00ED08F7">
              <w:rPr>
                <w:rFonts w:ascii="Times New Roman" w:eastAsia="Times New Roman" w:hAnsi="Times New Roman" w:cs="Times New Roman"/>
                <w:color w:val="000000"/>
                <w:sz w:val="24"/>
                <w:szCs w:val="24"/>
              </w:rPr>
              <w:t xml:space="preserve">3.770,00 </w:t>
            </w:r>
          </w:p>
        </w:tc>
      </w:tr>
    </w:tbl>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lastRenderedPageBreak/>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lastRenderedPageBreak/>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___________________________                                                                  ___________________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Pr="004B11B2">
        <w:rPr>
          <w:rFonts w:ascii="Times New Roman" w:eastAsiaTheme="minorHAnsi" w:hAnsi="Times New Roman" w:cs="Times New Roman"/>
          <w:sz w:val="24"/>
          <w:szCs w:val="24"/>
          <w:lang w:eastAsia="en-US"/>
        </w:rPr>
        <w:t>Renato Martins</w:t>
      </w:r>
      <w:r w:rsidRPr="004B11B2">
        <w:rPr>
          <w:rFonts w:ascii="Times New Roman" w:eastAsia="Times New Roman" w:hAnsi="Times New Roman" w:cs="Times New Roman"/>
          <w:sz w:val="24"/>
          <w:szCs w:val="24"/>
        </w:rPr>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4B11B2">
      <w:headerReference w:type="default" r:id="rId8"/>
      <w:footerReference w:type="default" r:id="rId9"/>
      <w:pgSz w:w="11906" w:h="16838"/>
      <w:pgMar w:top="1417"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E4B" w:rsidRDefault="00067E4B" w:rsidP="00F21F9E">
      <w:pPr>
        <w:spacing w:after="0" w:line="240" w:lineRule="auto"/>
      </w:pPr>
      <w:r>
        <w:separator/>
      </w:r>
    </w:p>
  </w:endnote>
  <w:endnote w:type="continuationSeparator" w:id="0">
    <w:p w:rsidR="00067E4B" w:rsidRDefault="00067E4B"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22269"/>
      <w:docPartObj>
        <w:docPartGallery w:val="Page Numbers (Bottom of Page)"/>
        <w:docPartUnique/>
      </w:docPartObj>
    </w:sdtPr>
    <w:sdtContent>
      <w:p w:rsidR="00EC3425" w:rsidRDefault="00EC3425">
        <w:pPr>
          <w:pStyle w:val="Rodap"/>
          <w:jc w:val="right"/>
        </w:pPr>
        <w:r>
          <w:fldChar w:fldCharType="begin"/>
        </w:r>
        <w:r>
          <w:instrText>PAGE   \* MERGEFORMAT</w:instrText>
        </w:r>
        <w:r>
          <w:fldChar w:fldCharType="separate"/>
        </w:r>
        <w:r>
          <w:rPr>
            <w:noProof/>
          </w:rPr>
          <w:t>4</w:t>
        </w:r>
        <w:r>
          <w:fldChar w:fldCharType="end"/>
        </w:r>
        <w:r>
          <w:t>/4</w:t>
        </w:r>
      </w:p>
    </w:sdtContent>
  </w:sdt>
  <w:p w:rsidR="00EC3425" w:rsidRDefault="00EC34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E4B" w:rsidRDefault="00067E4B" w:rsidP="00F21F9E">
      <w:pPr>
        <w:spacing w:after="0" w:line="240" w:lineRule="auto"/>
      </w:pPr>
      <w:r>
        <w:separator/>
      </w:r>
    </w:p>
  </w:footnote>
  <w:footnote w:type="continuationSeparator" w:id="0">
    <w:p w:rsidR="00067E4B" w:rsidRDefault="00067E4B"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067E4B"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6484112"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067E4B"/>
    <w:rsid w:val="00250F56"/>
    <w:rsid w:val="004B11B2"/>
    <w:rsid w:val="00622DB4"/>
    <w:rsid w:val="00EC3425"/>
    <w:rsid w:val="00ED08F7"/>
    <w:rsid w:val="00F21F9E"/>
    <w:rsid w:val="00F7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1968</Words>
  <Characters>10632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2015-06-22T12:13:00Z</dcterms:created>
  <dcterms:modified xsi:type="dcterms:W3CDTF">2015-06-22T16:15:00Z</dcterms:modified>
</cp:coreProperties>
</file>